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83" w:lineRule="atLeast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tbl>
      <w:tblPr>
        <w:tblStyle w:val="903"/>
        <w:tblW w:w="0" w:type="auto"/>
        <w:tblLook w:val="04A0" w:firstRow="1" w:lastRow="0" w:firstColumn="1" w:lastColumn="0" w:noHBand="0" w:noVBand="1"/>
      </w:tblPr>
      <w:tblGrid>
        <w:gridCol w:w="9571"/>
      </w:tblGrid>
      <w:tr>
        <w:tblPrEx/>
        <w:trPr/>
        <w:tc>
          <w:tcPr>
            <w:tcW w:w="957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69975" cy="1069975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Рисунок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70241" cy="107024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84.25pt;height:84.25pt;mso-wrap-distance-left:0.00pt;mso-wrap-distance-top:0.00pt;mso-wrap-distance-right:0.00pt;mso-wrap-distance-bottom:0.0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152140" cy="1274445"/>
                      <wp:effectExtent l="0" t="0" r="0" b="0"/>
                      <wp:docPr id="2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Рисунок 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152139" cy="1274444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48.20pt;height:100.35pt;mso-wrap-distance-left:0.00pt;mso-wrap-distance-top:0.00pt;mso-wrap-distance-right:0.00pt;mso-wrap-distance-bottom:0.0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r>
          </w:p>
          <w:p>
            <w:pPr>
              <w:jc w:val="center"/>
              <w:spacing w:line="360" w:lineRule="auto"/>
              <w:rPr>
                <w:rFonts w:ascii="Times New Roman" w:hAnsi="Times New Roman" w:eastAsia="Arial Unicode MS" w:cs="Times New Roman"/>
                <w:b/>
                <w:color w:val="ff0000"/>
              </w:rPr>
            </w:pPr>
            <w:r>
              <w:rPr>
                <w:rFonts w:ascii="Times New Roman" w:hAnsi="Times New Roman" w:eastAsia="Arial Unicode MS" w:cs="Times New Roman"/>
                <w:b/>
                <w:color w:val="ff0000"/>
              </w:rPr>
            </w:r>
            <w:r>
              <w:rPr>
                <w:rFonts w:ascii="Times New Roman" w:hAnsi="Times New Roman" w:eastAsia="Arial Unicode MS" w:cs="Times New Roman"/>
                <w:b/>
                <w:color w:val="ff0000"/>
              </w:rPr>
            </w:r>
            <w:r>
              <w:rPr>
                <w:rFonts w:ascii="Times New Roman" w:hAnsi="Times New Roman" w:eastAsia="Arial Unicode MS" w:cs="Times New Roman"/>
                <w:b/>
                <w:color w:val="ff0000"/>
              </w:rPr>
            </w:r>
          </w:p>
          <w:p>
            <w:pPr>
              <w:jc w:val="center"/>
              <w:spacing w:line="360" w:lineRule="auto"/>
              <w:rPr>
                <w:rFonts w:ascii="Times New Roman" w:hAnsi="Times New Roman" w:eastAsia="Arial Unicode MS" w:cs="Times New Roman"/>
                <w:b/>
                <w:color w:val="ff0000"/>
              </w:rPr>
            </w:pPr>
            <w:r>
              <w:rPr>
                <w:rFonts w:ascii="Times New Roman" w:hAnsi="Times New Roman" w:eastAsia="Arial Unicode MS" w:cs="Times New Roman"/>
                <w:b/>
                <w:color w:val="ff0000"/>
              </w:rPr>
            </w:r>
            <w:r>
              <w:rPr>
                <w:rFonts w:ascii="Times New Roman" w:hAnsi="Times New Roman" w:eastAsia="Arial Unicode MS" w:cs="Times New Roman"/>
                <w:b/>
                <w:color w:val="ff0000"/>
              </w:rPr>
            </w:r>
            <w:r>
              <w:rPr>
                <w:rFonts w:ascii="Times New Roman" w:hAnsi="Times New Roman" w:eastAsia="Arial Unicode MS" w:cs="Times New Roman"/>
                <w:b/>
                <w:color w:val="ff0000"/>
              </w:rPr>
            </w:r>
          </w:p>
          <w:p>
            <w:pPr>
              <w:jc w:val="center"/>
              <w:spacing w:line="360" w:lineRule="auto"/>
              <w:rPr>
                <w:rFonts w:ascii="Times New Roman" w:hAnsi="Times New Roman" w:eastAsia="Arial Unicode MS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eastAsia="Arial Unicode MS" w:cs="Times New Roman"/>
                <w:b/>
                <w:color w:val="ff0000"/>
              </w:rPr>
              <w:t xml:space="preserve">ПРАВИТЕЛЬСТВО НОВОСИБИРСКОЙ ОБЛАСТИ</w:t>
            </w:r>
            <w:r>
              <w:rPr>
                <w:rFonts w:ascii="Times New Roman" w:hAnsi="Times New Roman" w:eastAsia="Arial Unicode MS" w:cs="Times New Roman"/>
                <w:b/>
                <w:bCs/>
                <w:color w:val="ff0000"/>
              </w:rPr>
            </w:r>
            <w:r>
              <w:rPr>
                <w:rFonts w:ascii="Times New Roman" w:hAnsi="Times New Roman" w:eastAsia="Arial Unicode MS" w:cs="Times New Roman"/>
                <w:b/>
                <w:bCs/>
                <w:color w:val="ff0000"/>
              </w:rPr>
            </w:r>
          </w:p>
          <w:p>
            <w:pPr>
              <w:jc w:val="center"/>
              <w:spacing w:line="360" w:lineRule="auto"/>
              <w:rPr>
                <w:rFonts w:ascii="Times New Roman" w:hAnsi="Times New Roman" w:eastAsia="Arial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b/>
                <w:color w:val="ff0000"/>
                <w:sz w:val="28"/>
                <w:szCs w:val="28"/>
              </w:rPr>
              <w:t xml:space="preserve">Министерство региональной политики </w:t>
            </w:r>
            <w:r>
              <w:rPr>
                <w:rFonts w:ascii="Times New Roman" w:hAnsi="Times New Roman" w:eastAsia="Arial" w:cs="Times New Roman"/>
                <w:b/>
                <w:bCs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Arial" w:cs="Times New Roman"/>
                <w:b/>
                <w:bCs/>
                <w:color w:val="ff0000"/>
                <w:sz w:val="28"/>
                <w:szCs w:val="28"/>
              </w:rPr>
            </w:r>
          </w:p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b/>
                <w:color w:val="ff0000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64795" cy="1052168"/>
                      <wp:effectExtent l="0" t="0" r="0" b="0"/>
                      <wp:docPr id="3" name="Picture 2" descr="https://upload.wikimedia.org/wikipedia/commons/thumb/7/73/Coat_of_arms_of_Novosibirsk_oblast.svg/1200px-Coat_of_arms_of_Novosibirsk_oblast.svg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4" name="Picture 2" descr="https://upload.wikimedia.org/wikipedia/commons/thumb/7/73/Coat_of_arms_of_Novosibirsk_oblast.svg/1200px-Coat_of_arms_of_Novosibirsk_oblast.svg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64795" cy="1052168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68.09pt;height:82.85pt;mso-wrap-distance-left:0.00pt;mso-wrap-distance-top:0.00pt;mso-wrap-distance-right:0.00pt;mso-wrap-distance-bottom:0.00pt;" stroked="false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</w:p>
          <w:p>
            <w:pPr>
              <w:jc w:val="center"/>
              <w:shd w:val="clear" w:color="auto" w:fill="ffffff"/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Информирование</w:t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</w:r>
          </w:p>
          <w:p>
            <w:pPr>
              <w:jc w:val="center"/>
              <w:shd w:val="clear" w:color="auto" w:fill="ffffff"/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Обзор основных событий в стране и мире </w:t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</w:r>
          </w:p>
          <w:p>
            <w:pPr>
              <w:jc w:val="center"/>
              <w:shd w:val="clear" w:color="auto" w:fill="ffffff"/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с 16 </w:t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по 22 июня </w:t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2025 года</w:t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</w:r>
          </w:p>
          <w:p>
            <w:pPr>
              <w:ind w:firstLine="709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Новосибирск, 2025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91"/>
        <w:jc w:val="center"/>
        <w:spacing w:before="0" w:beforeAutospacing="0" w:after="0" w:afterAutospacing="0" w:line="283" w:lineRule="atLeast"/>
        <w:shd w:val="clear" w:color="auto" w:fill="ffffff"/>
        <w:rPr>
          <w:color w:val="ff0000"/>
          <w:spacing w:val="-1"/>
          <w:sz w:val="28"/>
          <w:szCs w:val="28"/>
          <w:highlight w:val="none"/>
          <w:u w:val="single"/>
        </w:rPr>
      </w:pPr>
      <w:r>
        <w:rPr>
          <w:bCs w:val="0"/>
          <w:color w:val="ff0000"/>
          <w:spacing w:val="-1"/>
          <w:sz w:val="28"/>
          <w:szCs w:val="28"/>
          <w:u w:val="single"/>
        </w:rPr>
        <w:t xml:space="preserve">Основные события в мире:</w:t>
      </w:r>
      <w:r>
        <w:rPr>
          <w:color w:val="ff0000"/>
          <w:spacing w:val="-1"/>
          <w:sz w:val="28"/>
          <w:szCs w:val="28"/>
          <w:highlight w:val="none"/>
          <w:u w:val="single"/>
        </w:rPr>
      </w:r>
      <w:r>
        <w:rPr>
          <w:color w:val="ff0000"/>
          <w:spacing w:val="-1"/>
          <w:sz w:val="28"/>
          <w:szCs w:val="28"/>
          <w:highlight w:val="none"/>
          <w:u w:val="single"/>
        </w:rPr>
      </w:r>
    </w:p>
    <w:p>
      <w:pPr>
        <w:pStyle w:val="890"/>
        <w:ind w:left="0" w:right="0" w:firstLine="0"/>
        <w:jc w:val="center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  <w:t xml:space="preserve">Иран «привержен дипломатии», но продолжит отвечать на удары Израиля.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Министр иностранных дел Ирана Аббас Аракчи заявил, что Тегеран готов к урегулированию конфликта с Израилем дипломатическими средствами, но продолжит наносить удары по Израилю в целях самообороны.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«Иран продолжит осуществлять свое право на самооборону с гордостью и отвагой, и мы заставим агрессора пожалеть и заплатить за его серьезную ошибку», - написал Аракчи в соцсети Х.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При этом он подчеркнул, что Тегеран «по-прежнему привержен дипломатии», добавив, что «как и прежде, мы серьезны и смотрим в будущее».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Аракчи обвинил премьер-министра Израиля Биньямина Нетаньяху в «развязывании этой войны с целью уничтожения дипломатии» и предостерег мир от попыток Израиля расширить конфликт.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Он подчеркнул, что до сих пор Иран ограничивался ударами исключительно по Израилю, хотя знает о странах, которые оказывают ему помощь.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«Иран действует исключительно в целях самообороны. Даже перед лицом самой возмутительной агрессии против его народа Иран до сих пор принимал ответные меры только против израильского режима, а не против тех, кто оказывает ему помощь и занимается подстрекате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льством», - отметил Аракчи.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Президент США Дональд Трамп, одобрил план нападения на Иран, однако пока не отдал соответствующий приказ. Такое решение может быть принято в случае отказа Тегерана от ядерной программы.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Трамп сообщил старшим помощникам, что он одобряет планы нападения на Иран, но выжидает, чтобы посмотреть, откажется ли Тегеран от своей ядерной программы.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Трамп рассматривает разные варианты решения иранской ядерной проблемы, в том числе силовые.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pStyle w:val="890"/>
        <w:ind w:left="0" w:right="0" w:firstLine="0"/>
        <w:jc w:val="center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  <w:t xml:space="preserve">Канада вводит санкции против более 40 юрлиц из РФ и других стран.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Оттава введет ограничительные меры в отношении более 40 юрлиц из РФ и других стран, а также против более 200 судов, заявил премьер-министр Канады Марк Карни.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«Сегодня Канада объявляет о нескольких мерах, прежде всего - санкциях в отношении определенного количества лиц в РФ, против более 40 организаций в России и за ее пределами, которые пытаются привнести вклад в обход санкций, и против более 200 судов из «тене</w:t>
      </w: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вого флота», - заявил Карни в ходе встречи с президентом Украины Владимиром Зеленским на полях саммита G7 в Канаде.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Также он объявил о предоставлении дополнительной военной помощи Украине, в частности, дронов, вертолетов и боеприпасов.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Помимо прочего, Канада передаст Украине следующий транш кредита, который основан на замороженных активах РФ, в размере 2 млрд канадских долларов, добавил премьер-министр.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ind w:left="0" w:right="0" w:firstLine="709"/>
        <w:jc w:val="center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  <w:t xml:space="preserve">КНДР направит тысячи саперов и военных строителей для восстановления Курской области.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Секретарь Совета безопасности Сергей Шойгу заявил, что в ходе переговоров в Пхеньяне была достигнута договорённость об отправке северокорейских саперов и строителей в РФ для участия в восстановлении Курской области.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«Председателем государственных дел КНДР Ким Чен Ыном принято решение направить в Россию одну тысячу саперов для разминирования российско‌‌‌‌​​‌​‌‌​‍‌‌‌‌​​‌‌​​‌‍‌‌‌‌​​‌‌‌‌​‍‌‌‌‌​​​​‌‌‌‍‌‌‌‌‌​​​‌​‌‍‌‌‌‌‌​​​‌​‌‍‌‌‌‌​‌‌​‌‌​‍‌‌‌‌​​‌‌​​‌‍‌‌‌‌​​‌‌‌‌​‍‌‌‌‌​​​​‌‌‌‍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‌‌‌‌‌​‌​​‌​‍‌‌‌‌​‌‌‌‌​​‍‌‌‌‌​​‌​‌‌‌‍‌‌‌‌​​​‌​‌​‍‌‌‌‌​​‌‌​​​‍‌‌‌‌​​​‌​‌​‍‌‌‌‌​​‌‌​‌​‍‌‌‌‌​​​‌​​‌‍‌‌‌‌​​​‌‌​​‍‌‌‌‌​​‌​‌​​‍‌‌‌‌​​​​‌‌​й территории, а также пять тысяч военных строителей для восстановления разрушенных инфраструктурных объектов», - сказал Шойгу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чьи слова приведены в сообщении аппарата Совбеза РФ.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Он заявил, что в ходе переговоров была достигнута договоренность о продолжении взаимодействия и оказании содействия корейской стороной в восстановлении Курской области.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«Главами наших государств приято решение об увековечивании подвига солдат Корейской народной армии, принимавших участие в боевых действиях», - сообщил Шойгу.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Он подчеркнул, что речь идет об открытии в России и КНДР мемориалов в память о корейских воинах, павших в боях за о‌‌‌‌​​‌​‌‌​‍‌‌‌‌​​‌‌​​‌‍‌‌‌‌​​‌‌‌‌​‍‌‌‌‌​​​​‌‌‌‍‌‌‌‌‌​​​‌​‌‍‌‌‌‌‌​​​‌​‌‍‌‌‌‌​‌‌​‌‌​‍‌‌‌‌​​‌‌​​‌‍‌‌‌‌​​‌‌‌‌​‍‌‌‌‌​​​​‌‌‌‍‌‌‌‌‌​‌​​‌​‍‌‌‌‌​‌‌‌‌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​​‍‌‌‌‌​​‌​‌‌‌‍‌‌‌‌​​​‌​‌​‍‌‌‌‌​​‌‌​​​‍‌‌‌‌​​​‌​‌​‍‌‌‌‌​​‌‌​‌​‍‌‌‌‌​​​‌​​‌‍‌‌‌‌​​​‌‌​​‍‌‌‌‌​​‌​‌​​‍‌‌‌‌​​​​‌‌​свобождение территории России.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«В этой связи в рамках визита обсуждалось создание в Пхеньяне при участии российской стороны соответствующего мемориального комплекса с музеем», - заявил секретарь СБ РФ.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17 июня Шойгу прибыл по поручению президента РФ Владимира Путина в КНДР, где провел переговоры с Ким Чен Ыном.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Прошлый визит Шойгу в Северную Корею состоялся 4 июня. На встрече секретарь Совбеза РФ и лидер КНДР обсудили развитие двусторонних отношений, ситуацию вокруг Украины, а также отдельные пункты Договора о всеобъемлющем стратегическом партнёрстве.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28 мая Шойгу в Москве на встрече с министром госбезопасности Северной Кореи Ли Чхан Дэ заявил, что </w:t>
      </w:r>
      <w:hyperlink r:id="rId15" w:tooltip="https://www.interfax.ru/russia/1028299?utm_source=interlink&amp;utm_medium=1031606" w:history="1">
        <w:r>
          <w:rPr>
            <w:rStyle w:val="898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 xml:space="preserve">оценивает как подвиг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 действия военных КНДР, которые совместно с российскими силами </w:t>
      </w:r>
      <w:hyperlink r:id="rId16" w:tooltip="https://www.interfax.ru/russia/1022905?utm_source=interlink&amp;utm_medium=1031606" w:history="1">
        <w:r>
          <w:rPr>
            <w:rStyle w:val="898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 xml:space="preserve">освобождали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 территорию Курской области от ВСУ.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Между РФ и КНДР действует Договор о всеобъемлющем стратегическом партнерстве. Он был подписан в Пхеньяне 19 июня 2024 года. </w:t>
      </w:r>
      <w:hyperlink r:id="rId17" w:tooltip="https://www.interfax.ru/russia/990953?utm_source=interlink&amp;utm_medium=1031606" w:history="1">
        <w:r>
          <w:rPr>
            <w:rStyle w:val="898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 xml:space="preserve">Россия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 и </w:t>
      </w:r>
      <w:hyperlink r:id="rId18" w:tooltip="https://www.interfax.ru/world/991185?utm_source=interlink&amp;utm_medium=1031606" w:history="1">
        <w:r>
          <w:rPr>
            <w:rStyle w:val="898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 xml:space="preserve">КНДР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 ратифицировали его в ноябре.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90"/>
        <w:ind w:left="0" w:right="0" w:firstLine="709"/>
        <w:jc w:val="center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  <w:t xml:space="preserve">Казахстан и Китай подписали 24 документа по итогам переговоров Токаева и Си Цзиньпина.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По итогам переговоров в Астане президента Казахстана Касым-Жомарта Токаева и председателя КНР Си Цзиньпина подписано 24 межправительственных и межведомственных документа, сообщила пресс-служба казахстанского лидера.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«Члены делегаций двух стран обменялись документами, охватывающими сотрудничество в сферах энергетики, аэрокосмической отрасли, цифровизации, таможенного регулирования, сельского хозяйства, электронной коммерции, туризма, интеллектуальной собственнос‌‌‌‌​​‌</w:t>
      </w: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​‌‌​‍‌‌‌‌​​‌‌​​‌‍‌‌‌‌​​‌‌‌‌​‍‌‌‌‌​​​​‌‌‌‍‌‌‌‌‌​​​‌​‌‍‌‌‌‌‌​​​‌​‌‍‌‌‌‌​​‌​‌‌​‍‌‌‌‌​​‌‌​​‌‍‌‌‌‌​​‌‌‌‌​‍‌‌‌‌​​​​‌‌‌‍‌‌‌‌‌​‌​​‌​‍‌‌‌‌​​‌‌‌​‌‍‌‌‌‌​​‌​​​​‍‌‌‌‌​​‌‌​​​‍‌‌‌‌​​‌‌​‌‌‍‌‌‌‌​​‌‌‌‌​‍‌‌‌‌​​‌​​​‌‍‌‌‌‌​​‌​​​​‍‌‌‌‌​​​‌​​‌‍‌‌‌‌​​‌‌‌‌​ти, медицины, медиа, нау</w:t>
      </w: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ки и межрегиональных коммуникаций», - говорится в сообщении.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Кроме того, на межправительственном уровне были подписаны соглашения о поощрении и взаимной защите инвестиций, о техническом и экономическом сотрудничестве.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Ранее в резиденции президента Казахстана состоялись переговоры Токаева и Си Цзиньпина. Председатель КНР прибыл в Астану по приглашению казахстанского лидера, он принял участие во втором саммите «Китай - Центральная Азия».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left="0" w:right="0" w:firstLine="0"/>
        <w:jc w:val="center"/>
        <w:spacing w:before="0" w:beforeAutospacing="0" w:after="0" w:afterAutospacing="0" w:line="283" w:lineRule="atLeast"/>
        <w:shd w:val="clear" w:color="auto" w:fill="ffffff"/>
        <w:rPr>
          <w:rFonts w:ascii="Times New Roman" w:hAnsi="Times New Roman" w:eastAsia="Times New Roman" w:cs="Times New Roman"/>
          <w:color w:val="ff0000"/>
          <w:spacing w:val="-1"/>
          <w:sz w:val="28"/>
          <w:szCs w:val="28"/>
          <w:highlight w:val="none"/>
          <w:u w:val="single"/>
        </w:rPr>
      </w:pPr>
      <w:r>
        <w:rPr>
          <w:rFonts w:ascii="Times New Roman" w:hAnsi="Times New Roman" w:eastAsia="Times New Roman" w:cs="Times New Roman"/>
          <w:bCs w:val="0"/>
          <w:color w:val="ff0000"/>
          <w:spacing w:val="-1"/>
          <w:sz w:val="28"/>
          <w:szCs w:val="28"/>
          <w:u w:val="single"/>
        </w:rPr>
        <w:t xml:space="preserve">Основные события в стране:</w:t>
      </w:r>
      <w:r>
        <w:rPr>
          <w:rFonts w:ascii="Times New Roman" w:hAnsi="Times New Roman" w:eastAsia="Times New Roman" w:cs="Times New Roman"/>
          <w:color w:val="ff0000"/>
          <w:spacing w:val="-1"/>
          <w:sz w:val="28"/>
          <w:szCs w:val="28"/>
          <w:highlight w:val="none"/>
          <w:u w:val="single"/>
        </w:rPr>
      </w:r>
      <w:r>
        <w:rPr>
          <w:rFonts w:ascii="Times New Roman" w:hAnsi="Times New Roman" w:eastAsia="Times New Roman" w:cs="Times New Roman"/>
          <w:color w:val="ff0000"/>
          <w:spacing w:val="-1"/>
          <w:sz w:val="28"/>
          <w:szCs w:val="28"/>
          <w:highlight w:val="none"/>
          <w:u w:val="single"/>
        </w:rPr>
      </w:r>
    </w:p>
    <w:p>
      <w:pPr>
        <w:pStyle w:val="890"/>
        <w:ind w:left="0" w:right="0" w:firstLine="709"/>
        <w:jc w:val="center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  <w:t xml:space="preserve">Петербургский международный экономический форум.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Петербургский международный экономический форум (ПМЭФ-2025) прошел в конгрессно-выставочном центре «Экспофорум».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Главная тема форума в этом году - «Общие ценности - основа роста в многополярном мире». Деловая программа на этот раз разделена на пять тематических треков: «Мировая экономика: новая платформа глобального роста», «Российская экономика: новое качество роста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», «Человек в новом мире», «Среда для жизни» и «Технологии: стремление к лидерству».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Помимо главной темы, на полях форума поднимались вопросы укрепления экономического суверенитета, развития национальных финансовых систем, технологической независимости, противодействия санкционному давлению на РФ и другие. Проведены более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150 мероприятий в различных форматах, в том числе пленарное заседание, стратегические сессии, дискуссии и деловые завтраки.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Страной-гостем форума в этом году стало королевство Бахрейн.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Как и в прежние годы, в рамках ПМЭФ состоялись более 15 межстрановых бизнес-диалогов. На полях форума, в частности, проведены  встречи с представителями деловых сообществ Китая, США, Турции, Бразилии, Вьетнама, Индии, Ирана, ОАЭ, государств Африки и Лати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нской Америки, стран ЕС и АСЕАН. Тематические бизнес-завтраки собрали  представителей фармацевтических компаний и IT-индустрии. Отдельный бизнес-завтрак провел </w:t>
      </w:r>
      <w:hyperlink r:id="rId19" w:tooltip="https://www.interfax.ru/quote/SBER" w:history="1">
        <w:r>
          <w:rPr>
            <w:rStyle w:val="898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 xml:space="preserve">Сбербанк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 России.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pStyle w:val="890"/>
        <w:ind w:left="0" w:right="0" w:firstLine="0"/>
        <w:jc w:val="center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  <w:t xml:space="preserve">РФ в 2024 году направила на поддержку автопрома более 350 млрд руб.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Более 350 млрд рублей направлено в 2024 году на поддержку и развитие российского автопрома, сообщил премьер-министр Михаил Мишустин.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«С целью наладить выпуск машин внутри страны в прошлом году направили свыше 350 млрд руб. В первую очередь на субсидирование, соответственно, производств, включая те, которые были брошены иностранными компаниями. В результате мы уже сегодня запустили 10 со</w:t>
      </w: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временных площадок. Это площадки в Тольятти, Ижевске, Москве, Санкт-Петербурге, Тульской и Калужской областях и в ряде других регионов, в том числе там, где собираются и электромобили», - сказал глава правительства в ходе стратегической сессии п</w:t>
      </w: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о развитию отрасли.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На стимулирование спроса покупателей автотехники в 2024 году было выделено около 43 млрд руб., отметил он. «Эти средства пошли на льготное кредитов‌‌‌‌​​‌​‌‌​‍‌‌‌‌​​‌‌​​‌‍‌‌‌‌​​‌‌‌‌​‍‌‌‌‌​​​​‌‌‌‍‌‌‌‌‌​​​‌​‌‍‌‌‌‌‌​​​‌​‌‍‌‌‌‌​​‌​‌‌​‍‌‌‌‌​​‌‌​​‌‍‌‌‌‌​​‌‌‌‌​‍‌</w:t>
      </w: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‌‌‌​​​​‌‌‌‍‌‌‌‌‌​‌​​‌​‍‌‌‌‌​​‌‌‌​‌‍‌‌‌‌​​‌​​​​‍‌‌‌‌​​‌‌​​​‍‌‌‌‌​​‌‌​‌‌‍‌‌‌‌​​‌‌‌‌​‍‌‌‌‌​​‌​​​‌‍‌‌‌‌​​‌​​​​‍‌‌‌‌​​​‌​​‌‍‌‌‌‌​​‌‌‌‌​ание и лизинг, чтобы люди могли на выгодных условиях приобретать именно новые автомобили. Благодаря такой обширной государстве</w:t>
      </w: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нной поддержке их выпуск в прошлом году увеличился почти на треть, почти до 830 тыс. штук. Среди них - не только машины для частных поездок, но и коммерческий транспорт, автобусы, грузовики, которые необходимы бизнесу для продуктивной работы», - заявил пре</w:t>
      </w: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мьер.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По его словам, поставки автомобилей из дружественных стран в прошлом году поддержали российский авторынок, который занял четвертое место в Европе по числу проданных новых автомобилей. «Для укрепления технологического суверенитета важно расширять промышленн</w:t>
      </w: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ые мощности, увеличивать выпуск отечественного автотранспорта, в том числе работающего на альтернативных видах топлива, на электричестве, на сжатом и сжиженном газе», - добавил Мишустин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ind w:left="0" w:right="0" w:firstLine="0"/>
        <w:jc w:val="center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  <w:t xml:space="preserve">Производство военной техники предприятиями «Ростеха» выросло в десятки раз за четыре года.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Производство боевой техники предприятиями государственной корпорации «Ростех» по сравнению с 2021 годом увеличилось в десятки раз, сообщил глава госкорпорации Сергей Чемезов.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«Что касается гособоронзаказа. У нас 80 процентов всего вооружения, которое используется на СВО, производится нашими предприятиями. И за 2024 год производство новой легкобронированной техники и танков увеличилось в 1,1 раза, боеприпасов на ствольную артилл</w:t>
      </w: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ерию - в 1,3 раза, для легкобронированной техники и танков - в 2,1 раза, снарядов для реактивных систем залпового огня - в 1,7 раза», - сказал Чемезов на встрече с президентом РФ Владимиром Путиным.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При этом Чемезов отметил, что данные показатели - «только за один год, а если сравнивать с 2021 годом, то в десятки раз увеличилось наше производство».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По словам Чемезова, в целом исполнение гособоронзаказа традиционно на достаточно высоком уровне, составляет 99,5%, а по критически важным позициям - 100%.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ind w:left="0" w:right="0" w:firstLine="709"/>
        <w:jc w:val="center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  <w:t xml:space="preserve">Госдума приняла закон об ограничении использования в публичном пространстве иностранных слов.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17 июня Госдума приняла во втором и в третьем чтениях закон о защите русского языка.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Законом предусматривается регламентирование с 1 марта 2026 года размещения информации, предназначенной для публичного ознакомления потребителей.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Такая информация, согласно закону, должна быть выполнена на русском языке как государственном языке Российской Федерации, а в случаях, предусмотренных законодательством субъектов РФ, может быть выполнена также на государственных языках республик и (или) ин</w:t>
      </w: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ых языках народов РФ и быть идентичной по содержанию информации, выполненной на русском языке, а также равнозначной по размещению и техническому оформлению. При этом, по усмотрению изготовителя (исполнителя, продавца) информация, предназначенная для публич</w:t>
      </w: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ного ознакомления потребителей, может быть выполнена также на иностранных языках, говорится в законе.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Норма не будет применяться к случаям использования фирменных наименований, товарных знаков, знаков обслуживания, а также к другим случаям, предусмотренным федеральными законами, иными нормативными правовыми актами РФ, требованиями технических регламентов.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Также с 1 марта 2026 года вводится понятие наименование объекта (группы объектов) капитального строительства, наименование малоэтажного жилого комплекса - коммерческие обозначения, индивидуализирующие соответственно объект (группу объектов) капитального ст</w:t>
      </w: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роительства, малоэтажный жилой комплекс, которые застройщик планирует использовать в рекламе, связанной с привлечением денежных средств участников долевого строительства, и которые должны быть выполнены только с использованием кириллицы (не будет распростр</w:t>
      </w: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аняться на объекты, введенные в эксплуатацию до дня вступления в силу закона.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«Безусловно, нашу языковую среду, тот мир языка Пушкина, в котором мы с вами живем, конечно же, законом одним не отрегулировать, но наша задача регулировать публичное пространство, те места, те вывески, то, что мы видим вокруг, то, что влияет вообще на наш</w:t>
      </w:r>
      <w:r>
        <w:rPr>
          <w:rFonts w:ascii="Times New Roman" w:hAnsi="Times New Roman" w:eastAsia="Times New Roman" w:cs="Times New Roman"/>
          <w:color w:val="202736"/>
          <w:sz w:val="28"/>
          <w:szCs w:val="28"/>
        </w:rPr>
        <w:t xml:space="preserve">у жизнь. и в том числе на формирование тех языковых навыков, которыми пользуются потом наши дети», - сказала, комментируя закон журналистам, председатель комитета Госдумы по культуре Ольга Казакова.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ind w:left="0" w:right="0" w:firstLine="709"/>
        <w:jc w:val="center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  <w:t xml:space="preserve">Президент РФ утвердил новый нацпроект по космосу.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Гендиректор «Роскосмоса» Дмитрий Баканов сообщил, что новый национальный проект по космосу утвержден президентом РФ Владимиром Путиным.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«20 мая на стратсессии у председателя правительства мы в п‌‌‌‌​​‌​‌‌​‍‌‌‌‌​​‌‌​​‌‍‌‌‌‌​​‌‌‌‌​‍‌‌‌‌​​​​‌‌‌‍‌‌‌‌‌​​​‌​‌‍‌‌‌‌‌​​​‌​‌‍‌‌‌‌​‌‌​‌‌​‍‌‌‌‌​​‌‌​​‌‍‌‌‌‌​​‌‌‌‌​‍‌‌‌‌​​​​‌‌‌‍‌‌‌‌‌​‌​​‌​‍‌‌‌‌​‌‌‌‌​​‍‌‌‌‌​​‌​‌‌‌‍‌‌‌‌​​​‌​‌​‍‌‌‌‌​​‌‌​​​‍‌‌‌‌​​​‌​‌​‍‌‌‌‌​​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‌‌​‌​‍‌‌‌‌​​​‌​​‌‍‌‌‌‌​​​‌‌​​‍‌‌‌‌​​‌​‌​​‍‌‌‌‌​​​​‌‌​ервый раз представили новую версию национального проекта, а на позапрошлой неделе утвердили ее у президента», - сказал Баканов на заседании комитета Совета Федерации по экономической политике.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Ранее председатель правите‌‌‌‌​​‌​‌‌​‍‌‌‌‌​​‌‌​​‌‍‌‌‌‌​​‌‌‌‌​‍‌‌‌‌​​​​‌‌‌‍‌‌‌‌‌​​​‌​‌‍‌‌‌‌‌​​​‌​‌‍‌‌‌‌​‌‌​‌‌​‍‌‌‌‌​​‌‌​​‌‍‌‌‌‌​​‌‌‌‌​‍‌‌‌‌​​​​‌‌‌‍‌‌‌‌‌​‌​​‌​‍‌‌‌‌​‌‌‌‌​​‍‌‌‌‌​​‌​‌‌‌‍‌‌‌‌​​​‌​‌​‍‌‌‌‌​​‌‌​​​‍‌‌‌‌​​​‌​‌​‍‌‌‌‌​​‌‌​‌​‍‌‌‌‌​​​‌​​‌‍‌‌‌‌​​​‌‌​​‍‌‌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‌‌​​‌​‌​​‍‌‌‌‌​​​​‌‌​льства РФ Михаил Мишустин </w:t>
      </w:r>
      <w:hyperlink r:id="rId20" w:tooltip="https://www.interfax.ru/russia/1030085?utm_source=interlink&amp;utm_medium=1031585" w:history="1">
        <w:r>
          <w:rPr>
            <w:rStyle w:val="898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 xml:space="preserve">сообщил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что Россия направит на национальный проект по космической деятельности 4,4 трлн рублей до 2036 года.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 словам Мишустина, новые инициативы в этой области планируется запустить со следующего года - после окончательной доработки и утверждения президентом России.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3 июня Баканов сообщил, что министерство финансов РФ </w:t>
      </w:r>
      <w:hyperlink r:id="rId21" w:tooltip="https://www.interfax.ru/russia/1029368?utm_source=interlink&amp;utm_medium=1031585" w:history="1">
        <w:r>
          <w:rPr>
            <w:rStyle w:val="898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 xml:space="preserve">одобрило финансирование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 национального проекта по освоению космоса в размере 4,5 трлн рублей.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91"/>
        <w:contextualSpacing/>
        <w:jc w:val="center"/>
        <w:spacing w:before="0" w:beforeAutospacing="0" w:after="0" w:afterAutospacing="0" w:line="283" w:lineRule="atLeast"/>
        <w:shd w:val="clear" w:color="auto" w:fill="ffffff"/>
        <w:rPr>
          <w:color w:val="ff0000"/>
          <w:spacing w:val="-1"/>
          <w:sz w:val="28"/>
          <w:szCs w:val="28"/>
          <w:highlight w:val="none"/>
          <w:u w:val="single"/>
        </w:rPr>
      </w:pPr>
      <w:r>
        <w:rPr>
          <w:bCs w:val="0"/>
          <w:color w:val="ff0000"/>
          <w:spacing w:val="-1"/>
          <w:sz w:val="28"/>
          <w:szCs w:val="28"/>
          <w:u w:val="single"/>
        </w:rPr>
        <w:t xml:space="preserve">Основные события в Сибирском федеральном округе:</w:t>
      </w:r>
      <w:r>
        <w:rPr>
          <w:color w:val="ff0000"/>
          <w:spacing w:val="-1"/>
          <w:sz w:val="28"/>
          <w:szCs w:val="28"/>
          <w:highlight w:val="none"/>
          <w:u w:val="single"/>
        </w:rPr>
      </w:r>
      <w:r>
        <w:rPr>
          <w:color w:val="ff0000"/>
          <w:spacing w:val="-1"/>
          <w:sz w:val="28"/>
          <w:szCs w:val="28"/>
          <w:highlight w:val="none"/>
          <w:u w:val="single"/>
        </w:rPr>
      </w:r>
    </w:p>
    <w:p>
      <w:pPr>
        <w:ind w:left="0" w:right="0" w:firstLine="709"/>
        <w:jc w:val="center"/>
        <w:spacing w:after="0" w:line="283" w:lineRule="atLeast"/>
        <w:tabs>
          <w:tab w:val="left" w:pos="2975" w:leader="none"/>
        </w:tabs>
        <w:rPr>
          <w:color w:val="ff0000"/>
        </w:rP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1"/>
          <w:sz w:val="28"/>
          <w:szCs w:val="28"/>
          <w:highlight w:val="none"/>
          <w:u w:val="none"/>
        </w:rPr>
        <w:t xml:space="preserve">Турчак предлагает разрешить прямые выборы глав округов в Республике Алтай.</w:t>
      </w:r>
      <w:r>
        <w:rPr>
          <w:color w:val="ff0000"/>
        </w:rPr>
      </w:r>
      <w:r>
        <w:rPr>
          <w:color w:val="ff0000"/>
        </w:rPr>
      </w:r>
    </w:p>
    <w:p>
      <w:pPr>
        <w:ind w:left="0" w:right="0" w:firstLine="709"/>
        <w:jc w:val="both"/>
        <w:spacing w:after="0" w:line="283" w:lineRule="atLeast"/>
        <w:tabs>
          <w:tab w:val="left" w:pos="2975" w:leader="none"/>
        </w:tabs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Глава Республики Алтай Андрей Турчак на заседании профильного комитета Госсобрания представил поправки в закон об организации местного самоуправления в регионе, сообщает официальный телеграм-канал республиканск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ого правительства.</w:t>
      </w:r>
      <w:r/>
    </w:p>
    <w:p>
      <w:pPr>
        <w:ind w:left="0" w:right="0" w:firstLine="709"/>
        <w:jc w:val="both"/>
        <w:spacing w:after="0" w:line="283" w:lineRule="atLeast"/>
        <w:tabs>
          <w:tab w:val="left" w:pos="2975" w:leader="none"/>
        </w:tabs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«Законопроект закрепляет возможность проведения прямых выборов глав районов (в будущем - глав муниципальных округов). Это предложение на встречах озвучил Андрей Турчак, и оно закреплено в законе», - говорится в сообщении.</w:t>
      </w:r>
      <w:r/>
    </w:p>
    <w:p>
      <w:pPr>
        <w:ind w:left="0" w:right="0" w:firstLine="709"/>
        <w:jc w:val="both"/>
        <w:spacing w:after="0" w:line="283" w:lineRule="atLeast"/>
        <w:tabs>
          <w:tab w:val="left" w:pos="2975" w:leader="none"/>
        </w:tabs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Ранее Турчак констатировал, что в настоящее время прямых выборов глав районов в Республике Алтай не предусмотрено.</w:t>
      </w:r>
      <w:r/>
    </w:p>
    <w:p>
      <w:pPr>
        <w:ind w:left="0" w:right="0" w:firstLine="709"/>
        <w:jc w:val="both"/>
        <w:spacing w:after="0" w:line="283" w:lineRule="atLeast"/>
        <w:tabs>
          <w:tab w:val="left" w:pos="2975" w:leader="none"/>
        </w:tabs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Сегодня мы выбираем главу республики, Госсобрание, районные советы и даже сельских глав и депутатов поселений. А глав районов - нет, такая возможность не предусмотрена. Муниципальная реформа позволит районам самостоятельно - через свои районные советы - ре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шать, как выбирать главу округа. На прямых выборах или по представлению главы республики», - написал он в своем телеграм-канале в начале июня.</w:t>
      </w:r>
      <w:r/>
    </w:p>
    <w:p>
      <w:pPr>
        <w:ind w:left="0" w:right="0" w:firstLine="709"/>
        <w:jc w:val="both"/>
        <w:spacing w:after="0" w:line="283" w:lineRule="atLeast"/>
        <w:tabs>
          <w:tab w:val="left" w:pos="2975" w:leader="none"/>
        </w:tabs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Помимо этого, в поправках к закону отдельно прописаны формы участия жителей в местном самоуправлении, которые обязательно будут сохранены. Это сходы, собрания, публичные слушания, общественные обсуждения, территориальное общественное самоуправление (ТОСы).</w:t>
      </w:r>
      <w:r/>
    </w:p>
    <w:p>
      <w:pPr>
        <w:ind w:left="0" w:right="0" w:firstLine="709"/>
        <w:jc w:val="both"/>
        <w:spacing w:after="0" w:line="283" w:lineRule="atLeast"/>
        <w:tabs>
          <w:tab w:val="left" w:pos="2975" w:leader="none"/>
        </w:tabs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роме того, будет сохранен институт старост, который действует сегодня в малых селах. В муниципалитетах, которые переходят на одноуровневую систему, за депутатами райсоветов закреплено право согласовывать назначение руководителей территориальных отделов - н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ынешних глав поселений.</w:t>
      </w:r>
      <w:r/>
    </w:p>
    <w:p>
      <w:pPr>
        <w:ind w:left="0" w:right="0" w:firstLine="709"/>
        <w:jc w:val="both"/>
        <w:spacing w:after="0" w:line="283" w:lineRule="atLeast"/>
        <w:tabs>
          <w:tab w:val="left" w:pos="2975" w:leader="none"/>
        </w:tabs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Отмечается, что законопроект был принят на комитете большинством голосов.</w:t>
      </w:r>
      <w:r/>
    </w:p>
    <w:p>
      <w:pPr>
        <w:ind w:left="0" w:right="0" w:firstLine="709"/>
        <w:jc w:val="center"/>
        <w:spacing w:after="0" w:line="283" w:lineRule="atLeast"/>
        <w:tabs>
          <w:tab w:val="left" w:pos="2975" w:leader="none"/>
        </w:tabs>
        <w:rPr>
          <w:color w:val="ff0000"/>
        </w:rP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1"/>
          <w:sz w:val="28"/>
          <w:szCs w:val="28"/>
          <w:highlight w:val="none"/>
          <w:u w:val="none"/>
        </w:rPr>
        <w:t xml:space="preserve">Реальные денежные доходы населения Кузбасса в I квартале выросли на 3,4%, расходы - на 12,1%.</w:t>
      </w:r>
      <w:r>
        <w:rPr>
          <w:color w:val="ff0000"/>
        </w:rPr>
      </w:r>
      <w:r>
        <w:rPr>
          <w:color w:val="ff0000"/>
        </w:rPr>
      </w:r>
    </w:p>
    <w:p>
      <w:pPr>
        <w:ind w:left="0" w:right="0" w:firstLine="709"/>
        <w:jc w:val="both"/>
        <w:spacing w:after="0" w:line="283" w:lineRule="atLeast"/>
        <w:tabs>
          <w:tab w:val="left" w:pos="2975" w:leader="none"/>
        </w:tabs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Реальные денежные доходы населения Кемеровской области в I квартале 2025 года выросли на 3,4% по сравнению с аналогичным периодом 2024 года, сообщается в материалах территориального органа Федеральной службы государственной ст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атистики по Кемеровской области (Кемеровостат).</w:t>
      </w:r>
      <w:r/>
    </w:p>
    <w:p>
      <w:pPr>
        <w:ind w:left="0" w:right="0" w:firstLine="709"/>
        <w:jc w:val="both"/>
        <w:spacing w:after="0" w:line="283" w:lineRule="atLeast"/>
        <w:tabs>
          <w:tab w:val="left" w:pos="2975" w:leader="none"/>
        </w:tabs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</w:r>
      <w:r/>
    </w:p>
    <w:p>
      <w:pPr>
        <w:ind w:left="0" w:right="0" w:firstLine="709"/>
        <w:jc w:val="both"/>
        <w:spacing w:after="0" w:line="283" w:lineRule="atLeast"/>
        <w:tabs>
          <w:tab w:val="left" w:pos="2975" w:leader="none"/>
        </w:tabs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еальные располагаемые денежные доходы (доходы за вычетом обязательных платежей, скорректированные на индекс потребительских цен) увеличились на 4,4%, отмечает ведомство. При этом по сравнению с данными IV квартала 2024 года оба показателя сократились почти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 на 25%.</w:t>
      </w:r>
      <w:r/>
    </w:p>
    <w:p>
      <w:pPr>
        <w:ind w:left="0" w:right="0" w:firstLine="709"/>
        <w:jc w:val="both"/>
        <w:spacing w:after="0" w:line="283" w:lineRule="atLeast"/>
        <w:tabs>
          <w:tab w:val="left" w:pos="2975" w:leader="none"/>
        </w:tabs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Денежные доходы населения в январе-марте сложились в размере 339,8 млрд рублей (рост на 14,3% по сравнению с I кварталом 2024 года), при этом денежные доходы в среднем на душу населения увеличились на 15,3% и составили 44,825 тыс. рублей.</w:t>
      </w:r>
      <w:r/>
    </w:p>
    <w:p>
      <w:pPr>
        <w:ind w:left="0" w:right="0" w:firstLine="709"/>
        <w:jc w:val="both"/>
        <w:spacing w:after="0" w:line="283" w:lineRule="atLeast"/>
        <w:tabs>
          <w:tab w:val="left" w:pos="2975" w:leader="none"/>
        </w:tabs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Денежные расходы населения Кузбасса возросли в I квартале на 12,1% по сравнению с I кварталом 2024 года и достигли 306,4 млрд рублей. Потребительские расходы на душу населения составили 34,1 тыс. рублей (рост на 13,8%).</w:t>
      </w:r>
      <w:r/>
    </w:p>
    <w:p>
      <w:pPr>
        <w:ind w:left="0" w:right="0" w:firstLine="709"/>
        <w:jc w:val="both"/>
        <w:spacing w:after="0" w:line="283" w:lineRule="atLeast"/>
        <w:tabs>
          <w:tab w:val="left" w:pos="2975" w:leader="none"/>
        </w:tabs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реднемесячная номинальная начисленная заработная плата работников в организациях области, включая малые предприятия, в I квартале выросла на 11% и составила 79,618 тыс. рублей. Наиболее высокий размер оплаты труда фиксировался в угледобыче (117,609 тыс. ру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блей), в сфере научных исследований и разработок (113,435 тыс. рублей), металлургическом производстве (106,144 тыс. рублей).</w:t>
      </w:r>
      <w:r/>
    </w:p>
    <w:p>
      <w:pPr>
        <w:ind w:left="0" w:right="0" w:firstLine="709"/>
        <w:jc w:val="both"/>
        <w:spacing w:after="0" w:line="283" w:lineRule="atLeast"/>
        <w:tabs>
          <w:tab w:val="left" w:pos="2975" w:leader="none"/>
        </w:tabs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Наиболее низкий размер оплаты труда отмечается в производстве одежды (21,621 тыс. рублей), кожи и изделий из кожи (22,322 тыс. рублей), мебели (25,855 тыс. рублей).</w:t>
      </w:r>
      <w:r/>
    </w:p>
    <w:p>
      <w:pPr>
        <w:ind w:left="0" w:right="0" w:firstLine="709"/>
        <w:jc w:val="both"/>
        <w:spacing w:after="0" w:line="283" w:lineRule="atLeast"/>
        <w:tabs>
          <w:tab w:val="left" w:pos="2975" w:leader="none"/>
        </w:tabs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Согласно материалам Кемеровостата, на покупку товаров и оплату услуг население региона в I квартале направило 76,1% доходов, на оплату обязательных платежей пришлось 14,1%, на сбережения - 9,8%.</w:t>
      </w:r>
      <w:r/>
    </w:p>
    <w:p>
      <w:pPr>
        <w:ind w:left="0" w:right="0" w:firstLine="709"/>
        <w:jc w:val="center"/>
        <w:spacing w:after="0" w:line="283" w:lineRule="atLeast"/>
        <w:tabs>
          <w:tab w:val="left" w:pos="2975" w:leader="none"/>
        </w:tabs>
        <w:rPr>
          <w:rFonts w:ascii="Times New Roman" w:hAnsi="Times New Roman" w:eastAsia="Times New Roman" w:cs="Times New Roman"/>
          <w:b w:val="0"/>
          <w:bCs w:val="0"/>
          <w:color w:val="ff0000"/>
          <w:spacing w:val="-1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1"/>
          <w:sz w:val="28"/>
          <w:szCs w:val="28"/>
          <w:highlight w:val="none"/>
          <w:u w:val="none"/>
        </w:rPr>
        <w:t xml:space="preserve">Трехдневное голосование будет на выборах губернатора 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pacing w:val="-1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ff0000"/>
          <w:spacing w:val="-1"/>
          <w:sz w:val="28"/>
          <w:szCs w:val="28"/>
          <w:highlight w:val="none"/>
          <w:u w:val="none"/>
        </w:rPr>
      </w:r>
    </w:p>
    <w:p>
      <w:pPr>
        <w:ind w:left="0" w:right="0" w:firstLine="709"/>
        <w:jc w:val="center"/>
        <w:spacing w:after="0" w:line="283" w:lineRule="atLeast"/>
        <w:tabs>
          <w:tab w:val="left" w:pos="2975" w:leader="none"/>
        </w:tabs>
        <w:rPr>
          <w:rFonts w:ascii="Times New Roman" w:hAnsi="Times New Roman" w:eastAsia="Times New Roman" w:cs="Times New Roman"/>
          <w:b w:val="0"/>
          <w:bCs w:val="0"/>
          <w:color w:val="ff0000"/>
          <w:spacing w:val="-1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1"/>
          <w:sz w:val="28"/>
          <w:szCs w:val="28"/>
          <w:highlight w:val="none"/>
          <w:u w:val="none"/>
        </w:rPr>
        <w:t xml:space="preserve">Иркутской области.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pacing w:val="-1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ff0000"/>
          <w:spacing w:val="-1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after="0" w:line="283" w:lineRule="atLeast"/>
        <w:tabs>
          <w:tab w:val="left" w:pos="2975" w:leader="none"/>
        </w:tabs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Избирательная комиссия Иркутской области на заседании приняла решение о проведении голосования на выборах губернатора в сентябре в течение трех дней, сообщает пресс-служба избиркома региона.</w:t>
      </w:r>
      <w:r/>
    </w:p>
    <w:p>
      <w:pPr>
        <w:ind w:left="0" w:right="0" w:firstLine="709"/>
        <w:jc w:val="both"/>
        <w:spacing w:after="0" w:line="283" w:lineRule="atLeast"/>
        <w:tabs>
          <w:tab w:val="left" w:pos="2975" w:leader="none"/>
        </w:tabs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На основании анализа обращений Общественной палаты Иркутской области, Ассоциации муниципальных образований, уполномоченного по правам человека, общественных организаций облизбиркомом принято решение о проведении голосования на выборах губернатора в течение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 нескольких дней (12-14 сентября)», - говорится в сообщении.</w:t>
      </w:r>
      <w:r/>
    </w:p>
    <w:p>
      <w:pPr>
        <w:ind w:left="0" w:right="0" w:firstLine="709"/>
        <w:jc w:val="both"/>
        <w:spacing w:after="0" w:line="283" w:lineRule="atLeast"/>
        <w:tabs>
          <w:tab w:val="left" w:pos="2975" w:leader="none"/>
        </w:tabs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Ранее сообщалось, что региональное отделение партии «Единая Россия» выдвинуло действующего губернатора Иркутской области Игоря Кобзева кандидатом на выборах главы региона.</w:t>
      </w:r>
      <w:r/>
    </w:p>
    <w:p>
      <w:pPr>
        <w:ind w:left="0" w:right="0" w:firstLine="709"/>
        <w:jc w:val="both"/>
        <w:spacing w:after="0" w:line="283" w:lineRule="atLeast"/>
        <w:tabs>
          <w:tab w:val="left" w:pos="2975" w:leader="none"/>
        </w:tabs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Позже в этот же день Кобзев представил в областной избирком документы о выдвижении своей кандидатуры, он стал первым кандидатам в этой избирательной кампании.</w:t>
      </w:r>
      <w:r/>
    </w:p>
    <w:p>
      <w:pPr>
        <w:ind w:left="0" w:right="0" w:firstLine="709"/>
        <w:jc w:val="both"/>
        <w:spacing w:after="0" w:line="283" w:lineRule="atLeast"/>
        <w:tabs>
          <w:tab w:val="left" w:pos="2975" w:leader="none"/>
        </w:tabs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В марте президент РФ Владимир Путин поддержал намерение Кобзева идти на выборы губернатора области.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</w:r>
      <w:r/>
    </w:p>
    <w:p>
      <w:pPr>
        <w:ind w:left="0" w:right="0" w:firstLine="709"/>
        <w:jc w:val="both"/>
        <w:spacing w:after="0" w:line="283" w:lineRule="atLeast"/>
        <w:tabs>
          <w:tab w:val="left" w:pos="2975" w:leader="none"/>
        </w:tabs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Предыдущие выборы главы региона прошли 11-13 сентября 2020 года, они были досрочными в связи с отставкой по собственному желанию с этого поста в декабре 2019 года Сергея Левченко. Тогда победу на выборах одержал самовыдвиженец Кобзев.</w:t>
      </w:r>
      <w:r/>
    </w:p>
    <w:p>
      <w:pPr>
        <w:ind w:left="0" w:right="0" w:firstLine="709"/>
        <w:jc w:val="both"/>
        <w:spacing w:after="0" w:line="283" w:lineRule="atLeast"/>
        <w:tabs>
          <w:tab w:val="left" w:pos="2975" w:leader="none"/>
        </w:tabs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В ноябре 2021 года Кобзев вступил в ряды партии «Единая Россия», а в январе 2022 года возглавил ее отделение в регионе.</w:t>
      </w:r>
      <w:r/>
    </w:p>
    <w:p>
      <w:pPr>
        <w:ind w:left="0" w:right="0" w:firstLine="709"/>
        <w:jc w:val="center"/>
        <w:spacing w:after="0" w:line="283" w:lineRule="atLeast"/>
        <w:tabs>
          <w:tab w:val="left" w:pos="2975" w:leader="none"/>
        </w:tabs>
        <w:rPr>
          <w:rFonts w:ascii="Times New Roman" w:hAnsi="Times New Roman" w:eastAsia="Times New Roman" w:cs="Times New Roman"/>
          <w:b w:val="0"/>
          <w:bCs w:val="0"/>
          <w:color w:val="ff0000"/>
          <w:spacing w:val="-1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1"/>
          <w:sz w:val="28"/>
          <w:szCs w:val="28"/>
          <w:highlight w:val="none"/>
          <w:u w:val="none"/>
        </w:rPr>
        <w:t xml:space="preserve">Повторный отбор участников программы «Герои Приангарья»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pacing w:val="-1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ff0000"/>
          <w:spacing w:val="-1"/>
          <w:sz w:val="28"/>
          <w:szCs w:val="28"/>
          <w:highlight w:val="none"/>
          <w:u w:val="none"/>
        </w:rPr>
      </w:r>
    </w:p>
    <w:p>
      <w:pPr>
        <w:ind w:left="0" w:right="0" w:firstLine="709"/>
        <w:jc w:val="center"/>
        <w:spacing w:after="0" w:line="283" w:lineRule="atLeast"/>
        <w:tabs>
          <w:tab w:val="left" w:pos="2975" w:leader="none"/>
        </w:tabs>
        <w:rPr>
          <w:rFonts w:ascii="Times New Roman" w:hAnsi="Times New Roman" w:eastAsia="Times New Roman" w:cs="Times New Roman"/>
          <w:b w:val="0"/>
          <w:bCs w:val="0"/>
          <w:color w:val="ff0000"/>
          <w:spacing w:val="-1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1"/>
          <w:sz w:val="28"/>
          <w:szCs w:val="28"/>
          <w:highlight w:val="none"/>
          <w:u w:val="none"/>
        </w:rPr>
        <w:t xml:space="preserve"> запустят в 2026 году.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pacing w:val="-1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ff0000"/>
          <w:spacing w:val="-1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after="0" w:line="283" w:lineRule="atLeast"/>
        <w:tabs>
          <w:tab w:val="left" w:pos="2975" w:leader="none"/>
        </w:tabs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Участники региональной образовательной программы «Герои Приангарья» в Иркутской области, которые зарегистрировались на первый поток проекта в 2025 году, но не завершили этапы тестирования или собеседования, смогут повторно прой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ти отбор в 2026 году, сообщает пресс-служба регионального правительства.</w:t>
      </w:r>
      <w:r/>
    </w:p>
    <w:p>
      <w:pPr>
        <w:ind w:left="0" w:right="0" w:firstLine="709"/>
        <w:jc w:val="both"/>
        <w:spacing w:after="0" w:line="283" w:lineRule="atLeast"/>
        <w:tabs>
          <w:tab w:val="left" w:pos="2975" w:leader="none"/>
        </w:tabs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Мы понимаем, насколько для действующих бойцов и ветеранов СВО важен шанс проявить себя в мирной жизни и получить новые знания в сфере государственного и муниципального управления. Не у всех получилось завершить тестирование или собеседование при отборе на 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рограмму «Герои Приангарья» в этом году, но мы хотим, чтобы у каждого была возможность попробовать снова», - приводятся в сообщении слова начальника управления губернатора и правительства области по связям с общественностью и национальным отношениям Ольги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Куриленковой.</w:t>
      </w:r>
      <w:r/>
    </w:p>
    <w:p>
      <w:pPr>
        <w:ind w:left="0" w:right="0" w:firstLine="709"/>
        <w:jc w:val="both"/>
        <w:spacing w:after="0" w:line="283" w:lineRule="atLeast"/>
        <w:tabs>
          <w:tab w:val="left" w:pos="2975" w:leader="none"/>
        </w:tabs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В пресс-службе уточнили, что отборочные этапы в установленные сроки по различным объективным причинам смогли пройти не все зарегистрировавшиеся в программе участники СВО.</w:t>
      </w:r>
      <w:r/>
    </w:p>
    <w:p>
      <w:pPr>
        <w:ind w:left="0" w:right="0" w:firstLine="709"/>
        <w:jc w:val="both"/>
        <w:spacing w:after="0" w:line="283" w:lineRule="atLeast"/>
        <w:tabs>
          <w:tab w:val="left" w:pos="2975" w:leader="none"/>
        </w:tabs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Данные и личные кабинеты зарегистрированных пользователей будут сохранены на официальном сайте герои-приангарья.рф.</w:t>
      </w:r>
      <w:r/>
    </w:p>
    <w:p>
      <w:pPr>
        <w:ind w:left="0" w:right="0" w:firstLine="709"/>
        <w:jc w:val="both"/>
        <w:spacing w:after="0" w:line="283" w:lineRule="atLeast"/>
        <w:tabs>
          <w:tab w:val="left" w:pos="2975" w:leader="none"/>
        </w:tabs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Программа «Герои Приангарья» реализуется в Иркутской области с 2025 года. На первом этапе в ней зарегистрировались более 1 тыс. человек, среди них есть ветераны СВО, представители Росгвардии и МВД, в том числе 40 кавалеров ордена Мужества.</w:t>
      </w:r>
      <w:r/>
    </w:p>
    <w:p>
      <w:pPr>
        <w:ind w:left="0" w:right="0" w:firstLine="709"/>
        <w:jc w:val="both"/>
        <w:spacing w:after="0" w:line="283" w:lineRule="atLeast"/>
        <w:tabs>
          <w:tab w:val="left" w:pos="2975" w:leader="none"/>
        </w:tabs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Этап собеседований по программе прошли 468 бойцов и ветеранов СВО. Теперь общественному совету по ее реализации предстоит определить список тех, кто приступит к обучению.</w:t>
      </w:r>
      <w:r/>
    </w:p>
    <w:p>
      <w:pPr>
        <w:ind w:left="0" w:right="0" w:firstLine="709"/>
        <w:jc w:val="both"/>
        <w:spacing w:after="0" w:line="283" w:lineRule="atLeast"/>
        <w:tabs>
          <w:tab w:val="left" w:pos="2975" w:leader="none"/>
        </w:tabs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Обучение стартует 21 июля. В течение года участники освоят основы государственного и муниципального управления под руководством наставников - представителей органов власти региона.</w:t>
      </w:r>
      <w:r/>
    </w:p>
    <w:p>
      <w:pPr>
        <w:ind w:left="0" w:right="0" w:firstLine="709"/>
        <w:jc w:val="both"/>
        <w:spacing w:after="0" w:line="283" w:lineRule="atLeast"/>
        <w:tabs>
          <w:tab w:val="left" w:pos="2975" w:leader="none"/>
        </w:tabs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Выпускники будут работать в региональных и муниципальных органах власти, корпорациях, а также в организациях, связанных с патриотическим воспитанием. Кроме того, они могут заниматься общественной деятельностью либо собственным бизнесом.</w:t>
      </w:r>
      <w:r/>
    </w:p>
    <w:p>
      <w:pPr>
        <w:ind w:left="0" w:right="0" w:firstLine="709"/>
        <w:jc w:val="center"/>
        <w:spacing w:after="0" w:line="283" w:lineRule="atLeast"/>
        <w:tabs>
          <w:tab w:val="left" w:pos="2975" w:leader="none"/>
        </w:tabs>
        <w:rPr>
          <w:color w:val="ff0000"/>
        </w:rP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1"/>
          <w:sz w:val="28"/>
          <w:szCs w:val="28"/>
          <w:highlight w:val="none"/>
          <w:u w:val="none"/>
        </w:rPr>
        <w:t xml:space="preserve">Томская область завершила посевную кампанию.</w:t>
      </w:r>
      <w:r>
        <w:rPr>
          <w:color w:val="ff0000"/>
        </w:rPr>
      </w:r>
      <w:r>
        <w:rPr>
          <w:color w:val="ff0000"/>
        </w:rPr>
      </w:r>
    </w:p>
    <w:p>
      <w:pPr>
        <w:ind w:left="0" w:right="0" w:firstLine="709"/>
        <w:jc w:val="both"/>
        <w:spacing w:after="0" w:line="283" w:lineRule="atLeast"/>
        <w:tabs>
          <w:tab w:val="left" w:pos="2975" w:leader="none"/>
        </w:tabs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Аграрии Томской области завершили посевную кампанию, сообщает региональный департамент по социально-экономическому развитию села.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</w:r>
      <w:r/>
    </w:p>
    <w:p>
      <w:pPr>
        <w:ind w:left="0" w:right="0" w:firstLine="709"/>
        <w:jc w:val="both"/>
        <w:spacing w:after="0" w:line="283" w:lineRule="atLeast"/>
        <w:tabs>
          <w:tab w:val="left" w:pos="2975" w:leader="none"/>
        </w:tabs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Яровыми культурами в текущем году засеяно 181,65 тыс. га, в том числе зерновыми и зернобобовыми - более 134 тыс. га. Рапсом засеяно 30,3 тыс. га - на 4,3% больше, чем годом ранее.</w:t>
      </w:r>
      <w:r/>
    </w:p>
    <w:p>
      <w:pPr>
        <w:ind w:left="0" w:right="0" w:firstLine="709"/>
        <w:jc w:val="both"/>
        <w:spacing w:after="0" w:line="283" w:lineRule="atLeast"/>
        <w:tabs>
          <w:tab w:val="left" w:pos="2975" w:leader="none"/>
        </w:tabs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 настоящее время в регионе завершается посадка картофеля (посажено 1,38 тыс. га, 96,2% от плана) и овощей открытого грунта (более 440 га, 95,2% от плана). Также регион завершает сев однолетних трав - засеяно 8,8 тыс. га. Работы по севу и подсеву многолетни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х трав выполнены на площади 2,8 тыс. га.</w:t>
      </w:r>
      <w:r/>
    </w:p>
    <w:p>
      <w:pPr>
        <w:ind w:left="0" w:right="0" w:firstLine="709"/>
        <w:jc w:val="both"/>
        <w:spacing w:after="0" w:line="283" w:lineRule="atLeast"/>
        <w:tabs>
          <w:tab w:val="left" w:pos="2975" w:leader="none"/>
        </w:tabs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ак сообщалось, в посевную кампанию 2024 года под зерновые культуры было отведено 160 тыс. га. По итогам уборочной регион на фоне сложных погодных условиях и введения режима ЧС снизил сбор зерновых и зернобобовых на 15,25%, до 282,8 тыс. тонн (в весе после 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доработки). При этом урожайность в 2024 году составила 20,6 ц/га против 20,2 ц/га годом ранее, когда было собрано 333,7 тыс. тонн.</w:t>
      </w:r>
      <w:r/>
    </w:p>
    <w:p>
      <w:pPr>
        <w:pStyle w:val="890"/>
        <w:ind w:left="0" w:right="0" w:firstLine="0"/>
        <w:jc w:val="center"/>
        <w:spacing w:before="0" w:after="0" w:afterAutospacing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  <w:t xml:space="preserve">Глава Республики Алтай внес на рассмотрение в Госсобрание кандидатуры министров.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after="0" w:afterAutospacing="0" w:line="283" w:lineRule="atLeast"/>
        <w:rPr>
          <w:rFonts w:ascii="Times New Roman" w:hAnsi="Times New Roman" w:cs="Times New Roman"/>
          <w:color w:val="3a4142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a4142"/>
          <w:sz w:val="28"/>
          <w:szCs w:val="28"/>
        </w:rPr>
        <w:t xml:space="preserve">Сессия Госсобрания Республики Алтай 24 июня рассмотрит кандидатуры министров, которые внес на рассмотрение депутатов глава республики Андрей Турчак.</w:t>
      </w:r>
      <w:r>
        <w:rPr>
          <w:rFonts w:ascii="Times New Roman" w:hAnsi="Times New Roman" w:cs="Times New Roman"/>
          <w:color w:val="3a4142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3a4142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a4142"/>
          <w:sz w:val="28"/>
          <w:szCs w:val="28"/>
          <w:highlight w:val="none"/>
        </w:rPr>
        <w:t xml:space="preserve">«В соответствии с новыми требованиями Конституции Республики Алтай внес на рассмотрение Госсобрания и согласование с депутатами  кандидатуры министров», - сообщил Турчак в своем телеграм-канале.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a4142"/>
          <w:sz w:val="28"/>
          <w:szCs w:val="28"/>
          <w:highlight w:val="none"/>
        </w:rPr>
        <w:t xml:space="preserve">В статусе заместителей председателя правительства на рассмотрение Госсобрания внесены и.о. министра финансов Ольга Завьялова, и.о. министра здравоохранения Дмитрий Хубезов и и.о. министра природных ресурсов и экологии Республики Алтай Владислав Челтугашев.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a4142"/>
          <w:sz w:val="28"/>
          <w:szCs w:val="28"/>
          <w:highlight w:val="none"/>
        </w:rPr>
        <w:t xml:space="preserve">«Уже говорил, что мы повышаем статус нашего Минприроды, чтобы эффективнее решать вопросы лесной отрасли и экологии как внутри республики, так и на федеральном уровне», - отметил Турчак.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83" w:lineRule="atLeast"/>
        <w:tabs>
          <w:tab w:val="left" w:pos="297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акже на согласование внесены кандидатуры глав других министерств: Сергей Алымов - министр цифрового развития; Наталия Антарадонова - министр юстиции; Ольга Антарадонова - министр культуры; Сергей Боровиков - министр экономического развития; Артур Гущин - м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нистр транспорта и дорожного хозяйства; Ольга Саврасова - министр образования и науки; Алексей Санаров - министр труда, социального развития и занятости населения; Александр Суразов - министр молодежной политики и спорта; Андрей Цыгулев - министр сельского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 хозяйства; Алексей Чакыров - министр строительства и жилищно-коммунального хозяйства.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709"/>
        <w:jc w:val="both"/>
        <w:spacing w:after="0" w:afterAutospacing="0" w:line="283" w:lineRule="atLeast"/>
        <w:tabs>
          <w:tab w:val="left" w:pos="297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-1"/>
          <w:sz w:val="28"/>
          <w:szCs w:val="28"/>
          <w:highlight w:val="none"/>
          <w:u w:val="none"/>
        </w:rPr>
        <w:t xml:space="preserve">«Сейчас все кандидатуры проходят согласование в комитетах Госсобрания. Сессия назначена на 24 июня», - сообщил Турчак.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709"/>
        <w:jc w:val="center"/>
        <w:spacing w:after="0" w:line="283" w:lineRule="atLeast"/>
        <w:tabs>
          <w:tab w:val="left" w:pos="2975" w:leader="none"/>
        </w:tabs>
        <w:rPr>
          <w:rFonts w:ascii="Times New Roman" w:hAnsi="Times New Roman" w:eastAsia="Times New Roman" w:cs="Times New Roman"/>
          <w:b/>
          <w:bCs/>
          <w:color w:val="ff0000"/>
          <w:spacing w:val="-1"/>
          <w:sz w:val="28"/>
          <w:szCs w:val="28"/>
          <w:highlight w:val="none"/>
          <w:u w:val="single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highlight w:val="none"/>
          <w:u w:val="single"/>
        </w:rPr>
      </w:r>
      <w:r>
        <w:rPr>
          <w:rFonts w:ascii="Times New Roman" w:hAnsi="Times New Roman" w:eastAsia="Times New Roman" w:cs="Times New Roman"/>
          <w:b/>
          <w:bCs/>
          <w:color w:val="ff0000"/>
          <w:spacing w:val="-1"/>
          <w:sz w:val="28"/>
          <w:szCs w:val="28"/>
          <w:u w:val="single"/>
        </w:rPr>
        <w:t xml:space="preserve">Основные события в Новосибирской области: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eastAsia="Times New Roman" w:cs="Times New Roman"/>
          <w:b/>
          <w:bCs/>
          <w:color w:val="ff0000"/>
          <w:spacing w:val="-1"/>
          <w:sz w:val="28"/>
          <w:szCs w:val="28"/>
          <w:highlight w:val="none"/>
          <w:u w:val="single"/>
        </w:rPr>
      </w:r>
      <w:r>
        <w:rPr>
          <w:rFonts w:ascii="Times New Roman" w:hAnsi="Times New Roman" w:eastAsia="Times New Roman" w:cs="Times New Roman"/>
          <w:b/>
          <w:bCs/>
          <w:color w:val="ff0000"/>
          <w:spacing w:val="-1"/>
          <w:sz w:val="28"/>
          <w:szCs w:val="28"/>
          <w:highlight w:val="none"/>
          <w:u w:val="single"/>
        </w:rPr>
      </w:r>
    </w:p>
    <w:p>
      <w:pPr>
        <w:ind w:left="0" w:right="0" w:firstLine="709"/>
        <w:jc w:val="center"/>
        <w:spacing w:before="0" w:after="0" w:line="283" w:lineRule="atLeast"/>
        <w:rPr>
          <w:rFonts w:ascii="Times New Roman" w:hAnsi="Times New Roman" w:cs="Times New Roman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ff0000"/>
          <w:sz w:val="28"/>
          <w:szCs w:val="28"/>
        </w:rPr>
        <w:t xml:space="preserve">Изменения в закон «О молодежной политике Новосибирской области» рассмотрены 16 июня на заседании Правительства региона, прошедшего под председательством Губернатора Андрея Травникова.</w:t>
      </w: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Глава региона подчеркивал необходимость развития молодежной политики, выявления и тиражирования наиболее интересных молодежи воспитательно-патриотических мероприятий в ходе </w:t>
      </w:r>
      <w:hyperlink r:id="rId22" w:tooltip="https://www.nso.ru/news/71321" w:history="1">
        <w:r>
          <w:rPr>
            <w:rStyle w:val="898"/>
            <w:rFonts w:ascii="Times New Roman" w:hAnsi="Times New Roman" w:eastAsia="Times New Roman" w:cs="Times New Roman"/>
            <w:color w:val="auto"/>
            <w:sz w:val="28"/>
            <w:szCs w:val="28"/>
            <w:u w:val="none"/>
          </w:rPr>
          <w:t xml:space="preserve">VIII Пленума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 Новосибирского областного совета ветеранов в мае текущего года. «Наша задача – в течение и по итогам года определить наиболее эффективные, наиболее востребованные жителями, и прежде всего молодёжью для того, чтобы закрепить их как постоянные и рекомендуем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ые для тиражирования в последующие годы во всех муниципалитетах нашей области», – определил задачи дальнейшей совместной работы Губернатор Андрей Травников.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Основной доклад представил руководитель департамента молодежной политики Новосибирской области Василий Носков. В частности, он подчеркнул, что документ направлен на повышение открытости и доступности молодежной политики региона. «В новой редакции устанавли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вается обязанность уполномоченного органа обеспечивать открытость и доступность информации о реализации молодежной политики включая данные мониторинга эффективности патриотического и духовно-нравственного воспитания молодежи», – отметил Василий Носков.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соответствии с изменениями, утверждается комплекс мер по патриотическому и духовно-нравственному воспитанию молодежи, а также порядок межведомственного взаимодействия органов государственной власти Новосибирской области при реализации молодежной политики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. Кроме того, расширяются полномочия департамента молодежной политики Новосибирской области в части реализации молодежной политики на территории региона, нормативно-правового регулирования в отрасли, содействия развитию инфраструктуры молодежной политики 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реализации выдвигаемых инициатив.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Законопроект «О внесении изменений в Закон Новосибирской области «О молодежной политике в Новосибирской области» был одобрен Правительством региона и будет внесен для рассмотрения в Законодательное Собрание Новосибирской области для прохождения процедуры п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убличных слушаний и рассмотрения на сессии.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90"/>
        <w:ind w:left="0" w:right="0" w:firstLine="0"/>
        <w:jc w:val="center"/>
        <w:spacing w:before="0" w:after="0" w:afterAutospacing="0" w:line="283" w:lineRule="atLeast"/>
        <w:shd w:val="clear" w:color="ffffff" w:fill="ffffff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  <w:t xml:space="preserve">Более 70 тысяч человек переехали в Новосибирскую область по госпрограмме переселения соотечественников.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Государственная программа «Оказание содействия добровольному переселению в Новосибирскую область соотечественников, проживающих за рубежом» реализуется в регионе с 2009 года. За время действия госпрограммы ее участниками стали уже более 70 тысяч человек, в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том числе 3,5 тысячи студентов, обучающихся в образовательных организациях, расположенных на территории Новосибирской области и более 18 тысяч детей дошкольного и школьного возрастов.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Министерство труда и социального развития Новосибирской области выступает куратором государственной программы добровольного переселения соотечественников. С начала текущего года в ведомство поступило на рассмотрение 307 заявлений на участие в госпрограмме,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причем 83,6% от общего количества поступивших заявлений подали граждане Казахстана. В рейтинге популярности для переселения лидируют города Новосибирск и Бердск, Новосибирский район. 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Из числа прибывших в текущем году (667 человек) трудоустроились порядка 200 соотечественников. Для участников региональной программы предусмотрены и меры социальной поддержки. Так, на каждого ребенка в возрасте до 17 лет включительно производятся единоврем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енные денежные выплаты в размере 15 тысяч рублей. Кроме того, школьники из многодетных и малоимущих семей обеспечиваются горячим питанием. Для тех, кто получает профессиональное образование в образовательных организациях, расположенных на территории Новоси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бирской области, действует единовременная финансовая помощь на обустройство в размере 20 тысяч рублей. Еще одна мера поддержки – ежемесячная стипендия Правительства Новосибирской области (3 193,33 рубля), которая выплачивается пяти талантливым студентам-со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отечественникам.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afterAutospacing="0" w:line="283" w:lineRule="atLeast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Всего же с начала реализации госпрограммы Новосибирскую область для переезда выбрали 70 448 человек.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pStyle w:val="890"/>
        <w:ind w:left="0" w:right="0" w:firstLine="0"/>
        <w:jc w:val="center"/>
        <w:spacing w:before="0" w:after="0" w:afterAutospacing="0" w:line="283" w:lineRule="atLeast"/>
        <w:shd w:val="clear" w:color="ffffff" w:fill="ffffff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</w:rPr>
        <w:t xml:space="preserve">Более 550 групп продленного дня для младших школьников открыто в школах региона.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Вопросы создания дополнительных групп продленного дня для младшеклассников при школах Новосибирской области в рамках национального проекта «Семья» обсудили в Правительстве региона 17 июня на заседании оперштаба по образованию, прошедшем под председательств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ом заместителя Губернатора Валентины Дудниковой.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Как подчеркнула замгубернатра, создание дополнительных групп продленного дня расширит возможности поддержки семей, поэтому Правительством региона уделяется серьезное внимание этой работе, количество таких групп должно быть увеличено. «Это социально значимы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й вопрос, ведь помимо образовательного эффекта – подготовки домашних заданий, повышения уровня успеваемости учеников, группы продленного дня являются действенным механизмом поддержки семьи. Важность этого проекта – социально-гуманитарная, прежде всего, она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заключается в помощи семьям региона, поэтому к его реализации необходимо подходить максимально серьезно. Такие группы должны в необходимом объеме действовать во всех районах области», – акцентировала внимание Валентина Дудникова. 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Заместитель министра образования Новосибирской области Владимир Щукин доложил, что в рамках национального проекта «Семья» начиная с 2025 года реализуется федеральный проект «Многодетная семья», одним из ключевых показателей проектов является мероприятие по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созданию групп продленного дня для обучающихся 1–4 классов в образовательных организациях. Группы обеспечивают присмотр и уход за детьми, а также помогают семьям в организации домашней работы и самоподготовки, способствуют всестороннему развитию детей, вк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лючая познавательное, творческое, физическое и нравственное, помогают детям подготовиться к учебным занятиям, выполняя домашние задания и занимаясь самоподготовкой, обеспечивают безопасность детей после уроков, когда родители еще не могут их забрать. В 202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4/2025 учебном году в Новосибирской области функционирует 557 групп «продленки» с общим охватом более 10 тысяч обучающихся. 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709"/>
        <w:jc w:val="both"/>
        <w:spacing w:before="0"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 итогам заседания оперативного штаба муниципалитетам региона рекомендовано предусмотреть средства на создание и функционирование дополнительных групп продленного дня, выделение помещений и обеспечение их в соответствии с санитарными и пожарными нормами,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обеспечение необходимым оборудованием, мебелью. Средствами обучения и воспитания, подбор воспитателей и их профессиональное развитие и повышение квалификации. Важными задачами остается контроль за соблюдением всех требований, а также информирование родител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ей (законных представителей) обучающихся о возможностях групп, включая правила записи, обучения. 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90"/>
        <w:ind w:left="0" w:right="0" w:firstLine="0"/>
        <w:jc w:val="center"/>
        <w:spacing w:before="0" w:after="0" w:afterAutospacing="0" w:line="283" w:lineRule="atLeast"/>
        <w:shd w:val="clear" w:color="ffffff" w:fill="ffffff"/>
        <w:rPr>
          <w:rFonts w:ascii="Times New Roman" w:hAnsi="Times New Roman" w:cs="Times New Roman"/>
          <w:b w:val="0"/>
          <w:bCs w:val="0"/>
          <w:color w:val="ff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</w:rPr>
        <w:t xml:space="preserve">Выборы депутатов горсовета Новосибирска назначены на 14 сентября.</w:t>
      </w:r>
      <w:r>
        <w:rPr>
          <w:rFonts w:ascii="Times New Roman" w:hAnsi="Times New Roman" w:eastAsia="Times New Roman" w:cs="Times New Roman"/>
          <w:b w:val="0"/>
          <w:bCs w:val="0"/>
          <w:color w:val="ff0000"/>
        </w:rPr>
      </w:r>
      <w:r>
        <w:rPr>
          <w:rFonts w:ascii="Times New Roman" w:hAnsi="Times New Roman" w:cs="Times New Roman"/>
          <w:b w:val="0"/>
          <w:bCs w:val="0"/>
          <w:color w:val="ff0000"/>
        </w:rPr>
      </w:r>
    </w:p>
    <w:p>
      <w:pPr>
        <w:ind w:left="0" w:right="0" w:firstLine="709"/>
        <w:jc w:val="both"/>
        <w:spacing w:before="0" w:after="0" w:afterAutospacing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Совет депутатов Новосибирска на сессии назначил выборы депутатов горсовета следующего созыва на единый день голосования 14 сентября.</w:t>
      </w:r>
      <w:r/>
    </w:p>
    <w:p>
      <w:pPr>
        <w:ind w:left="0" w:right="0" w:firstLine="709"/>
        <w:jc w:val="both"/>
        <w:spacing w:before="0" w:after="0" w:afterAutospacing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За это решение проголосовали все депутаты, принимавшие участие в сессии.</w:t>
      </w:r>
      <w:r/>
    </w:p>
    <w:p>
      <w:pPr>
        <w:ind w:left="0" w:right="0" w:firstLine="709"/>
        <w:jc w:val="both"/>
        <w:spacing w:before="0" w:after="0" w:afterAutospacing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«Решение принято единогласно», - сказал спикер горсовета Дмитрий Асанцев.</w:t>
      </w:r>
      <w:r/>
    </w:p>
    <w:p>
      <w:pPr>
        <w:ind w:left="0" w:right="0" w:firstLine="709"/>
        <w:jc w:val="both"/>
        <w:spacing w:before="0" w:after="0" w:afterAutospacing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Депутаты горсовета Новосибирска избираются по 50 одномандатным округам на пять лет. В действующем созыве горсовета пять депутатов сложили полномочия досрочно по разным причинам.</w:t>
      </w:r>
      <w:r/>
    </w:p>
    <w:p>
      <w:pPr>
        <w:ind w:left="0" w:right="0" w:firstLine="709"/>
        <w:jc w:val="both"/>
        <w:spacing w:before="0" w:after="0" w:afterAutospacing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анее на 14 сентября были назначены выборы депутатов Заксобрания региона. Из 76 депутатов половина избирается по спискам политических партий, половина - по одномандатным округам. В действующем созыве 14 депутатов сложили полномочия досрочно по разным причин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ам.</w:t>
      </w:r>
      <w:r/>
    </w:p>
    <w:p>
      <w:pPr>
        <w:ind w:left="0" w:right="0" w:firstLine="709"/>
        <w:jc w:val="both"/>
        <w:spacing w:before="0" w:after="0" w:afterAutospacing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Голосование на выборах в горсовет и в Заксобрание Новосибирской области будет трехдневным - с 12 по 14 сентября.</w:t>
      </w:r>
      <w:r/>
    </w:p>
    <w:p>
      <w:pPr>
        <w:ind w:left="0" w:right="0" w:firstLine="709"/>
        <w:jc w:val="both"/>
        <w:spacing w:before="0" w:after="0" w:afterAutospacing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 территории Новосибирской области образовано 1 тыс. 757 участковых избирательных комиссий, из них 571 - в Новосибирске. На выборах депутатов Заксобрания и горсовета Новосибирска планируется образовать еще пять избирательных участков в местах временного пр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ебывания - в СИЗО и крупных больницах.</w:t>
      </w:r>
      <w:r/>
    </w:p>
    <w:p>
      <w:pPr>
        <w:ind w:left="0" w:right="0" w:firstLine="709"/>
        <w:jc w:val="both"/>
        <w:spacing w:before="0" w:after="0" w:afterAutospacing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сего в Новосибирской области в единый день голосования 14 сентября 2025 года пройдет 346 кампаний по выборам представительных органов муниципальных образований, в том числе недавно образованных шести муниципальных округов, дополнительные выборы депутатов 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двух районах и выборы главы одного сельсовета. Всего будет замещаться 3671 депутатский мандат разных уровней</w:t>
      </w:r>
      <w:r/>
    </w:p>
    <w:p>
      <w:pPr>
        <w:pStyle w:val="891"/>
        <w:ind w:left="0" w:right="0" w:firstLine="0"/>
        <w:spacing w:before="0" w:after="360"/>
        <w:rPr>
          <w:rFonts w:ascii="Arial" w:hAnsi="Arial" w:eastAsia="Arial" w:cs="Arial"/>
          <w:sz w:val="41"/>
          <w:szCs w:val="4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41"/>
          <w:highlight w:val="none"/>
        </w:rPr>
      </w:r>
      <w:r>
        <w:rPr>
          <w:rFonts w:ascii="Arial" w:hAnsi="Arial" w:eastAsia="Arial" w:cs="Arial"/>
          <w:b/>
          <w:color w:val="000000"/>
          <w:sz w:val="41"/>
          <w:highlight w:val="none"/>
        </w:rPr>
      </w:r>
      <w:r>
        <w:rPr>
          <w:rFonts w:ascii="Arial" w:hAnsi="Arial" w:eastAsia="Arial" w:cs="Arial"/>
          <w:sz w:val="41"/>
          <w:szCs w:val="41"/>
        </w:rPr>
      </w:r>
    </w:p>
    <w:p>
      <w:pPr>
        <w:pStyle w:val="891"/>
        <w:ind w:left="0" w:right="0" w:firstLine="709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  <w:highlight w:val="none"/>
        </w:rPr>
        <w:t xml:space="preserve">Новосибирская область заключила первое соглашение на ПМЭФ -2025 о строительстве завода по производству продуктов питания.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Подпись под соглашением поставили Губернатор Новосибирской области Андрей Травников, генеральный директор ООО «Сэлтикс Сиберия» Андрей Атамуратов и врио генерального директора Корпорации развития региона Вячеслав Радионов.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Соглашение подписано в присутствии представителя акционера из Вьетнама в компании ООО «Сэлтикс Сиберия» госпожи Тхи Хай Иэн Хоанг.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Компания ООО «Сэлтикс Сиберия» является российской компанией со 100% иностранными инвестициями из дружественной страны, учредитель АО «Сэлтикс» - юридическое лицо из Республики Вьетнам.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данный момент компания «Сэлтикс Сиберия» уже приступила к реализации масштабного инвестиционного проекта по строительству завода по производству продуктов питания на территории Промышленно-логистического парка.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«Готовы обсуждать ход реализации проекта. Проект крупный, важный для нас, по-своему профильный», –  отметил Губернатор Андрей Травников.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Общий объем инвестиций в проект составит 13 млрд рублей. Проект планируется реализовать в два этапа. На первом этапе с 2024 года по 2028 годы будет построен производственно-складской комплекс общей мощностью более 45 тыс. тон в год. На предприятии планируе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тся создать более 600 новых рабочих мест. По расчётам инвестора налоговые отчисления в консолидированный бюджет Новосибирской области после выхода на проектную мощность составит порядка 150 млн рублей в год.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«Мы уже приступили к реализации проекта — на площадке Промышленно-логистического парка Новосибирской области приобрели земельный участок площадью 12,8 га, провели проектирование, получили положительное экспертное заключение и разрешение на строительство.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данный момент ведём строительные работы и занимаемся организацией процессов коммерческой деятельности», — рассказал Андрей Атамуратов.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Врио генерального директора Корпорации развития НСО Вячеслав Радионов подчеркнул: «Этот проект — яркий пример успешного взаимодействия с зарубежным партнером. Строительство нового современного промышленного предприятия — это и создание новых рабочих мест,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ещё одна веха в истории развития Промышленно-логистического парка НСО, и пример привлекательности инвестклимата нашего региона для иностранного капитала. Такие проекты показывают, насколько важно развивать в регионе современные подготовленные площадки, 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оторые отвечают всем требованиям инвесторов».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center"/>
        <w:spacing w:after="0" w:line="283" w:lineRule="atLeast"/>
        <w:tabs>
          <w:tab w:val="left" w:pos="2975" w:leader="none"/>
        </w:tabs>
        <w:rPr>
          <w:rFonts w:ascii="Times New Roman" w:hAnsi="Times New Roman" w:cs="Times New Roman"/>
          <w:b/>
          <w:bCs/>
          <w:color w:val="ff0000"/>
          <w:sz w:val="28"/>
          <w:szCs w:val="28"/>
          <w:highlight w:val="none"/>
          <w:u w:val="single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u w:val="single"/>
        </w:rPr>
        <w:t xml:space="preserve">﻿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Календарь знаменательных дат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с 23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по 29 июня: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highlight w:val="none"/>
          <w:u w:val="single"/>
        </w:rPr>
      </w:r>
    </w:p>
    <w:p>
      <w:pPr>
        <w:pStyle w:val="891"/>
        <w:ind w:left="0" w:right="0" w:firstLine="709"/>
        <w:jc w:val="both"/>
        <w:spacing w:before="0" w:beforeAutospacing="0" w:after="0" w:afterAutospacing="0" w:line="283" w:lineRule="atLeast"/>
        <w:tabs>
          <w:tab w:val="left" w:pos="709" w:leader="none"/>
        </w:tabs>
        <w:rPr>
          <w:b w:val="0"/>
          <w:bCs w:val="0"/>
          <w:color w:val="ff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color w:val="ff0000"/>
          <w:sz w:val="28"/>
          <w:szCs w:val="28"/>
          <w:highlight w:val="none"/>
        </w:rPr>
        <w:t xml:space="preserve">23 июня:</w:t>
      </w: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</w:r>
    </w:p>
    <w:p>
      <w:pPr>
        <w:pStyle w:val="891"/>
        <w:ind w:left="0" w:right="0" w:firstLine="0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</w:rPr>
        <w:t xml:space="preserve">Международный Олимпийский день.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Ежегодно 23 июня во всем мире отмечается Международный Олимпийский день, который был учрежден в память о возрождении олимпийского движения в его современном виде.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Идея об установлении специального праздничного дня, посвященного олимпийскому движению во всем мире, впервые прозвучала на 41-й сессии Международного олимпийского комитета (МОК) в Стокгольме в 1947 году. А еще через год на 42-й сессии МОК в Санкт-Морице эт</w:t>
      </w: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от проект был одобрен официально.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left="0" w:right="0" w:firstLine="0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</w:rPr>
        <w:t xml:space="preserve">День государственной службы ООН.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23 июня отмечается День государственной службы Организации Объединенных Наций. В марте 2003 года Генеральная Ассамблея </w:t>
      </w:r>
      <w:hyperlink r:id="rId23" w:tooltip="https://news.mail.ru/company/oon/" w:history="1">
        <w:r>
          <w:rPr>
            <w:rStyle w:val="898"/>
            <w:rFonts w:ascii="Times New Roman" w:hAnsi="Times New Roman" w:eastAsia="Times New Roman" w:cs="Times New Roman"/>
            <w:color w:val="2c2d2e"/>
            <w:spacing w:val="1"/>
            <w:sz w:val="28"/>
            <w:szCs w:val="28"/>
            <w:u w:val="none"/>
          </w:rPr>
          <w:t xml:space="preserve">ООН</w:t>
        </w:r>
      </w:hyperlink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 приняла резолюцию, провозгласившую этот праздник. ООН призвала государства-члены организовывать в этот день специальные мероприятия, освещающие значение и вклад государственной службы в процесс развития общества, проводить награждение государственных служ</w:t>
      </w: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ащих.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left="0" w:right="0" w:firstLine="709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</w:rPr>
        <w:t xml:space="preserve">Международный день вдов.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Ежегодно 23 июня, начиная с 2011 года, мировое сообщество отмечает Международный день вдов. Эта дата дает возможность уделить внимание тяжелому положению женщин и детей, оставшихся без мужской опоры. К этому призывает резолюция Генеральной ассамблеи ООН, в</w:t>
      </w: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ышедшая в декабре 2010 года и закрепившая за 23 июня статус международного дня.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left="0" w:right="0" w:firstLine="0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</w:rPr>
        <w:t xml:space="preserve">День балалайки.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23 июня также отмечается День балалайки и международный праздник музыкантов-народников. Балалайка - особый для русской культуры музыкальный инструмент. Историческим основанием для праздника в честь этого инструмента стало первое документальное упоминание о</w:t>
      </w: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 балалайке в документе «Память из Стрелецкого приказа в малороссийский приказ» от 23 июня 1688 года.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left="0" w:right="0" w:firstLine="709"/>
        <w:jc w:val="both"/>
        <w:spacing w:before="0" w:beforeAutospacing="0" w:after="0" w:afterAutospacing="0" w:line="283" w:lineRule="atLeast"/>
        <w:tabs>
          <w:tab w:val="left" w:pos="709" w:leader="none"/>
        </w:tabs>
        <w:rPr>
          <w:b w:val="0"/>
          <w:bCs w:val="0"/>
          <w:color w:val="ff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  <w:t xml:space="preserve">24 июня:</w:t>
      </w: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</w:r>
    </w:p>
    <w:p>
      <w:pPr>
        <w:pStyle w:val="891"/>
        <w:ind w:left="0" w:right="0" w:firstLine="0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</w:rPr>
        <w:t xml:space="preserve">День Республики Чувашия.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24 июня Чувашия отмечает свой главный национальный праздник - День Республики (чуваш. Чăваш Республикин кунĕ). Он был официально учрежден в 1995 году в честь 75-летия со дня образования Чувашской автономной области. Столицей республики является город Чебок</w:t>
      </w: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сары.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left="0" w:right="0" w:firstLine="709"/>
        <w:jc w:val="both"/>
        <w:spacing w:before="0" w:beforeAutospacing="0" w:after="0" w:afterAutospacing="0" w:line="283" w:lineRule="atLeast"/>
        <w:tabs>
          <w:tab w:val="left" w:pos="709" w:leader="none"/>
        </w:tabs>
        <w:rPr>
          <w:b w:val="0"/>
          <w:bCs w:val="0"/>
          <w:color w:val="ff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  <w:t xml:space="preserve">25 июня:</w:t>
      </w: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</w:r>
    </w:p>
    <w:p>
      <w:pPr>
        <w:pStyle w:val="891"/>
        <w:ind w:left="0" w:right="0" w:firstLine="0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</w:rPr>
        <w:t xml:space="preserve">День дружбы и единения славян.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25 июня отмечается День дружбы и единения славян - праздник, объединяющий более 300 миллионов человек по всему миру. Он возник в 1990-х годах, чтобы напомнить о культурной общности славянских народов, их исторических корнях и стремлении сохранить многовеко</w:t>
      </w: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вые связи. Он появился как следствие распада СССР, когда образовалось больше независимых славянских государств, и возникла необходимость к налаживанию дружественных и партнерских отношений в новых условиях. Первыми на этом пути стали Россия и Беларусь, зак</w:t>
      </w: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лючившие соглашения о сотрудничестве на равных условиях.</w:t>
      </w: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  <w:highlight w:val="none"/>
        </w:rPr>
      </w:r>
    </w:p>
    <w:p>
      <w:pPr>
        <w:pStyle w:val="891"/>
        <w:ind w:left="0" w:right="0" w:firstLine="709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</w:rPr>
        <w:t xml:space="preserve">День моряка.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Ежегодно 25 июня отмечается День моряка или День мореплавателя. Решение о праздновании было принято в 2010 году. Государства-члены Международной морской организации, ИМО, входящие в </w:t>
      </w:r>
      <w:hyperlink r:id="rId24" w:tooltip="https://news.mail.ru/company/oon/" w:history="1">
        <w:r>
          <w:rPr>
            <w:rStyle w:val="898"/>
            <w:rFonts w:ascii="Times New Roman" w:hAnsi="Times New Roman" w:eastAsia="Times New Roman" w:cs="Times New Roman"/>
            <w:color w:val="2c2d2e"/>
            <w:spacing w:val="1"/>
            <w:sz w:val="28"/>
            <w:szCs w:val="28"/>
            <w:u w:val="none"/>
          </w:rPr>
          <w:t xml:space="preserve">ООН</w:t>
        </w:r>
      </w:hyperlink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, подписали резолюцию № 19, послужившую основанием учреждения этой международной даты. По их мнению, специальный день для людей всех морских профессий необходим, потому что вклад моряков в дело международной торговли, мировой экономики и в развитие граждан</w:t>
      </w: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ского общества в целом неоценим.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left="0" w:right="0" w:firstLine="709"/>
        <w:jc w:val="both"/>
        <w:spacing w:before="0" w:beforeAutospacing="0" w:after="0" w:afterAutospacing="0" w:line="283" w:lineRule="atLeast"/>
        <w:tabs>
          <w:tab w:val="left" w:pos="709" w:leader="none"/>
        </w:tabs>
        <w:rPr>
          <w:b w:val="0"/>
          <w:bCs w:val="0"/>
          <w:color w:val="ff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  <w:t xml:space="preserve">26 июня:</w:t>
      </w: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</w:r>
    </w:p>
    <w:p>
      <w:pPr>
        <w:pStyle w:val="891"/>
        <w:ind w:left="0" w:right="0" w:firstLine="709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</w:rPr>
        <w:t xml:space="preserve">Международный день борьбы со злоупотреблением наркотическими средствами и их незаконным оборотом.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26 июня ежегодно отмечается Международный день борьбы с наркотиками - дата, учрежденная в 1987 году по решению Генеральной Ассамблеи ООН. Праздник символизирует стремление международного сообщества усилить сотрудничество в противодействии наркомании и неза</w:t>
      </w: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конному обороту наркотиков.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История глобальных усилий по контролю над оборотом наркотических веществ насчитывает более ста лет.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left="0" w:right="0" w:firstLine="0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</w:rPr>
        <w:t xml:space="preserve">Международный день в поддержку жертв пыток.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Сегодня отмечается Международный день в поддержку жертв пыток. Он был установлен в 1997 году резолюцией Генеральной Ассамблеи </w:t>
      </w:r>
      <w:hyperlink r:id="rId25" w:tooltip="https://news.mail.ru/company/oon/" w:history="1">
        <w:r>
          <w:rPr>
            <w:rStyle w:val="898"/>
            <w:rFonts w:ascii="Times New Roman" w:hAnsi="Times New Roman" w:eastAsia="Times New Roman" w:cs="Times New Roman"/>
            <w:color w:val="2c2d2e"/>
            <w:spacing w:val="1"/>
            <w:sz w:val="28"/>
            <w:szCs w:val="28"/>
            <w:u w:val="none"/>
          </w:rPr>
          <w:t xml:space="preserve">ООН</w:t>
        </w:r>
      </w:hyperlink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. В 1987 году 26 июня в силу вступила Конвенция против пыток и других жестоких, бесчеловечных или унижающих достоинство видов обращения и наказания.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left="0" w:right="0" w:firstLine="0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</w:rPr>
        <w:t xml:space="preserve">Всемирный день охлаждения.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Всемирный день охлаждения отмечается ежегодно 26 июня. Он был учрежден, чтобы подчеркнуть важность холодильных технологий, которые люди используют в повседневной жизни, а также повысить значимость сектора охлаждения, кондиционирования воздуха и тепловых на</w:t>
      </w: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сосов.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left="0" w:right="0" w:firstLine="709"/>
        <w:jc w:val="both"/>
        <w:spacing w:before="0" w:beforeAutospacing="0" w:after="0" w:afterAutospacing="0" w:line="283" w:lineRule="atLeast"/>
        <w:tabs>
          <w:tab w:val="left" w:pos="709" w:leader="none"/>
        </w:tabs>
        <w:rPr>
          <w:b w:val="0"/>
          <w:bCs w:val="0"/>
          <w:color w:val="ff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  <w:t xml:space="preserve">27 июня:</w:t>
      </w: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</w:r>
    </w:p>
    <w:p>
      <w:pPr>
        <w:pStyle w:val="891"/>
        <w:ind w:left="0" w:right="0" w:firstLine="0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</w:rPr>
        <w:t xml:space="preserve">Всемирный день рыболовства.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27 июня отмечают День рыболовства. У этого праздника фиксированная дата, в отличие от Дня рыбака, который проходит во второе воскресенье июля.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День рыболовства это праздник не только любителей рыбалки, но и профессионалов, работающих в этой сфере. Напомним, что рыболовство - это один из древнейших видов природопользования, а упоминания о нем в истории появились еще до земледелия и скотоводства.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left="0" w:right="0" w:firstLine="709"/>
        <w:jc w:val="both"/>
        <w:spacing w:before="0" w:beforeAutospacing="0" w:after="0" w:afterAutospacing="0" w:line="283" w:lineRule="atLeast"/>
        <w:tabs>
          <w:tab w:val="left" w:pos="709" w:leader="none"/>
        </w:tabs>
        <w:rPr>
          <w:b w:val="0"/>
          <w:bCs w:val="0"/>
          <w:color w:val="ff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  <w:t xml:space="preserve">28 июня:</w:t>
      </w: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</w:r>
    </w:p>
    <w:p>
      <w:pPr>
        <w:pStyle w:val="891"/>
        <w:ind w:left="0" w:right="0" w:firstLine="0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</w:rPr>
        <w:t xml:space="preserve">День молодёжи в России.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Этот национальный праздник отмечают с 1958 года. Сперва - в последнее воскресенье июня, а затем первый президент России </w:t>
      </w:r>
      <w:hyperlink r:id="rId26" w:tooltip="https://news.mail.ru/card/1191/" w:history="1">
        <w:r>
          <w:rPr>
            <w:rStyle w:val="898"/>
            <w:rFonts w:ascii="Times New Roman" w:hAnsi="Times New Roman" w:eastAsia="Times New Roman" w:cs="Times New Roman"/>
            <w:color w:val="2c2d2e"/>
            <w:spacing w:val="1"/>
            <w:sz w:val="28"/>
            <w:szCs w:val="28"/>
            <w:u w:val="none"/>
          </w:rPr>
          <w:t xml:space="preserve">Борис Ельцин</w:t>
        </w:r>
      </w:hyperlink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 издал распоряжение, которое предписывало отмечать День молодежи 27 июня.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В 2023 году президент Владимир Путин перенес дату празднования Дня молодежи, распорядившись отмечать его в последнюю субботу июня: в 2025 году это 28 июня.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left="0" w:right="0" w:firstLine="0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</w:rPr>
        <w:t xml:space="preserve">День изобретателя и рационализатора.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Праздник отмечается с 1979 года в последнюю субботу июня, 2025 году это 28-е число.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Сначала он был советским аналогом присуждения </w:t>
      </w:r>
      <w:hyperlink r:id="rId27" w:tooltip="https://news.mail.ru/card/872/" w:history="1">
        <w:r>
          <w:rPr>
            <w:rStyle w:val="898"/>
            <w:rFonts w:ascii="Times New Roman" w:hAnsi="Times New Roman" w:eastAsia="Times New Roman" w:cs="Times New Roman"/>
            <w:color w:val="2c2d2e"/>
            <w:spacing w:val="1"/>
            <w:sz w:val="28"/>
            <w:szCs w:val="28"/>
            <w:u w:val="none"/>
          </w:rPr>
          <w:t xml:space="preserve">Нобелевской премии</w:t>
        </w:r>
      </w:hyperlink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: Академия наук отбирала лучшие рационализаторские предложения за прошедший год, а их изобретателей награждали. Но со временем праздник превратился в профессиональный праздник изобретателей и рационализаторов, которые работают во благо Родины.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left="0" w:right="0" w:firstLine="0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</w:rPr>
        <w:t xml:space="preserve">День российского букмекера.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Праздник появился в 2015 году по инициативе Саморегулируемой организации тотализаторов. В том же году 28 июня был проведен первый День организаторов пари.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left="0" w:right="0" w:firstLine="709"/>
        <w:jc w:val="both"/>
        <w:spacing w:before="0" w:beforeAutospacing="0" w:after="0" w:afterAutospacing="0" w:line="283" w:lineRule="atLeast"/>
        <w:tabs>
          <w:tab w:val="left" w:pos="709" w:leader="none"/>
        </w:tabs>
        <w:rPr>
          <w:b w:val="0"/>
          <w:bCs w:val="0"/>
          <w:color w:val="ff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  <w:t xml:space="preserve">29 июня:</w:t>
      </w: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</w:r>
    </w:p>
    <w:p>
      <w:pPr>
        <w:pStyle w:val="891"/>
        <w:ind w:left="0" w:right="0" w:firstLine="709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</w:rPr>
        <w:t xml:space="preserve">День партизан и подпольщиков в России.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c2d2e"/>
          <w:spacing w:val="1"/>
          <w:sz w:val="28"/>
          <w:szCs w:val="28"/>
        </w:rPr>
        <w:t xml:space="preserve">В 2008 году руководство Брянской области, которая в годы войны стала, наряду с Белоруссией, эпицентром партизанского движения, выступило с инициативой о внесении в список памятных дат Дня партизан и подпольщиков. Соответствующий закон был подписан президен</w:t>
      </w:r>
      <w:r>
        <w:rPr>
          <w:rFonts w:ascii="Times New Roman" w:hAnsi="Times New Roman" w:eastAsia="Times New Roman" w:cs="Times New Roman"/>
          <w:b w:val="0"/>
          <w:bCs w:val="0"/>
          <w:color w:val="2c2d2e"/>
          <w:spacing w:val="1"/>
          <w:sz w:val="28"/>
          <w:szCs w:val="28"/>
        </w:rPr>
        <w:t xml:space="preserve">том РФ уже 10 апреля 2009 года и праздник обрел официальный статус.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c2d2e"/>
          <w:spacing w:val="-2"/>
          <w:sz w:val="28"/>
          <w:szCs w:val="28"/>
        </w:rPr>
        <w:t xml:space="preserve">29 июня 1941 года, всего через неделю после начала войны, вышла Директива Совнаркома СССР и ЦК ВКП (б), в которой говорилось о необходимости создания партизанских отрядов.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c2d2e"/>
          <w:spacing w:val="1"/>
          <w:sz w:val="28"/>
          <w:szCs w:val="28"/>
        </w:rPr>
        <w:t xml:space="preserve">Действия партизан и работа подпольщиков сыграли огромную роль в успешном исходе Великой Отечественной войны. С 1941 по 1945 гг. ими было уничтожено, ранено и захвачено в плен более миллиона фашистов, уничтожено более четырех тысяч танков и бронемашин, 65 т</w:t>
      </w:r>
      <w:r>
        <w:rPr>
          <w:rFonts w:ascii="Times New Roman" w:hAnsi="Times New Roman" w:eastAsia="Times New Roman" w:cs="Times New Roman"/>
          <w:b w:val="0"/>
          <w:bCs w:val="0"/>
          <w:color w:val="2c2d2e"/>
          <w:spacing w:val="1"/>
          <w:sz w:val="28"/>
          <w:szCs w:val="28"/>
        </w:rPr>
        <w:t xml:space="preserve">ысяч автомобилей, 1100 самолетов противника. Кроме того, партизанами были разрушены и повреждены 1600 мостов и пущены под откос более 20 тысяч железнодорожных составов немецких войск.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c2d2e"/>
          <w:spacing w:val="1"/>
          <w:sz w:val="28"/>
          <w:szCs w:val="28"/>
        </w:rPr>
        <w:t xml:space="preserve">Более 311 тысяч партизан были награждены государственными наградами, а 248 человек получили звание Героя Советского Союза. Лучшие партизанские командиры - Сидор Ковпак, действовавший в Белоруссии и Алексей Федоров, возглавлявший подпольный обком на Украине</w:t>
      </w:r>
      <w:r>
        <w:rPr>
          <w:rFonts w:ascii="Times New Roman" w:hAnsi="Times New Roman" w:eastAsia="Times New Roman" w:cs="Times New Roman"/>
          <w:b w:val="0"/>
          <w:bCs w:val="0"/>
          <w:color w:val="2c2d2e"/>
          <w:spacing w:val="1"/>
          <w:sz w:val="28"/>
          <w:szCs w:val="28"/>
        </w:rPr>
        <w:t xml:space="preserve"> - были удостоены этого звания дважды.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08"/>
        <w:jc w:val="center"/>
        <w:spacing w:line="283" w:lineRule="atLeast"/>
        <w:shd w:val="clear" w:color="auto" w:fill="auto"/>
        <w:rPr>
          <w:rFonts w:ascii="Times New Roman" w:hAnsi="Times New Roman" w:cs="Times New Roman"/>
          <w:b/>
          <w:bCs/>
          <w:color w:val="ff0000"/>
          <w:sz w:val="28"/>
          <w:szCs w:val="28"/>
          <w:highlight w:val="none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highlight w:val="none"/>
          <w:u w:val="single"/>
        </w:rPr>
      </w:r>
    </w:p>
    <w:p>
      <w:pPr>
        <w:pStyle w:val="908"/>
        <w:jc w:val="center"/>
        <w:spacing w:line="283" w:lineRule="atLeast"/>
        <w:shd w:val="clear" w:color="auto" w:fill="auto"/>
        <w:rPr>
          <w:rFonts w:ascii="Times New Roman" w:hAnsi="Times New Roman" w:cs="Times New Roman"/>
          <w:b/>
          <w:bCs/>
          <w:color w:val="ff0000"/>
          <w:sz w:val="28"/>
          <w:szCs w:val="28"/>
          <w:highlight w:val="none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 xml:space="preserve">День в истории</w:t>
      </w:r>
      <w:r>
        <w:rPr>
          <w:b/>
          <w:bCs/>
          <w:color w:val="ff0000"/>
          <w:sz w:val="28"/>
          <w:szCs w:val="28"/>
          <w:u w:val="single"/>
        </w:rPr>
        <w:t xml:space="preserve"> с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23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по 29 июня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highlight w:val="none"/>
          <w:u w:val="single"/>
        </w:rPr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highlight w:val="none"/>
          <w:u w:val="single"/>
        </w:rPr>
      </w:r>
    </w:p>
    <w:p>
      <w:pPr>
        <w:pStyle w:val="891"/>
        <w:ind w:left="0" w:right="0" w:firstLine="709"/>
        <w:jc w:val="both"/>
        <w:spacing w:before="0" w:beforeAutospacing="0" w:after="0" w:afterAutospacing="0" w:line="283" w:lineRule="atLeast"/>
        <w:tabs>
          <w:tab w:val="left" w:pos="709" w:leader="none"/>
        </w:tabs>
        <w:rPr>
          <w:b w:val="0"/>
          <w:bCs w:val="0"/>
          <w:color w:val="ff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color w:val="ff0000"/>
          <w:sz w:val="28"/>
          <w:szCs w:val="28"/>
          <w:highlight w:val="none"/>
        </w:rPr>
        <w:t xml:space="preserve">23 июня:</w:t>
      </w: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</w:r>
    </w:p>
    <w:p>
      <w:pPr>
        <w:pStyle w:val="891"/>
        <w:ind w:left="0" w:right="0" w:firstLine="0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</w:rPr>
        <w:t xml:space="preserve">Операция «Багратион».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23 июня 1944 года в Белоруссии в ходе Великой Отечественной войны началась крупномасштабная стратегическая наступательная операция советских войск «Багратион», ставшая одной из крупнейших военных операций за всю историю человечества (в ней приняли участие </w:t>
      </w: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более 2,5 млн человек с обеих сторон).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В ходе операции «Багратион» были освобождены от немецких захватчиков Белоруссия, часть Прибалтики и восточные районы Польши. Немецко-фашистские войска потеряли за это время около 400 тысяч человек убитыми, ранеными и пленными. Были захвачены живыми 22 неме</w:t>
      </w: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цких генерала, ещё 10 погибли. Советские войска потеряли до 180 тысяч погибшими, пропавшими без вести и пленными, а также около 600 тысяч ранеными и больными.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left="0" w:right="0" w:firstLine="709"/>
        <w:jc w:val="both"/>
        <w:spacing w:before="0" w:beforeAutospacing="0" w:after="0" w:afterAutospacing="0" w:line="283" w:lineRule="atLeast"/>
        <w:tabs>
          <w:tab w:val="left" w:pos="709" w:leader="none"/>
        </w:tabs>
        <w:rPr>
          <w:b w:val="0"/>
          <w:bCs w:val="0"/>
          <w:color w:val="ff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  <w:t xml:space="preserve">24 июня:</w:t>
      </w: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</w:r>
    </w:p>
    <w:p>
      <w:pPr>
        <w:pStyle w:val="891"/>
        <w:ind w:left="0" w:right="0" w:firstLine="0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</w:rPr>
        <w:t xml:space="preserve">Парад Победы.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eastAsia="Times New Roman" w:cs="Times New Roman"/>
          <w:color w:val="2c2d2e"/>
          <w:spacing w:val="1"/>
          <w:sz w:val="27"/>
          <w:szCs w:val="27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c2d2e"/>
          <w:spacing w:val="1"/>
          <w:sz w:val="27"/>
        </w:rPr>
        <w:t xml:space="preserve">24 июня 1945 года в Москве на Красной площади прошел Парад Победы в честь победы СССР над Германией в Великой Отечественной войне. Парад принимал Маршал Советского Союза Георгий Жуков, командовал парадом Маршал Советского Союза Константин Рокоссовский.</w:t>
      </w:r>
      <w:r>
        <w:rPr>
          <w:rFonts w:ascii="Times New Roman" w:hAnsi="Times New Roman" w:eastAsia="Times New Roman" w:cs="Times New Roman"/>
          <w:color w:val="2c2d2e"/>
          <w:spacing w:val="1"/>
          <w:sz w:val="27"/>
          <w:szCs w:val="27"/>
          <w:highlight w:val="none"/>
        </w:rPr>
      </w:r>
      <w:r>
        <w:rPr>
          <w:rFonts w:ascii="Times New Roman" w:hAnsi="Times New Roman" w:eastAsia="Times New Roman" w:cs="Times New Roman"/>
          <w:color w:val="2c2d2e"/>
          <w:spacing w:val="1"/>
          <w:sz w:val="27"/>
          <w:szCs w:val="27"/>
          <w:highlight w:val="none"/>
        </w:rPr>
      </w:r>
    </w:p>
    <w:p>
      <w:pPr>
        <w:pStyle w:val="891"/>
        <w:ind w:left="0" w:right="0" w:firstLine="0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</w:rPr>
        <w:t xml:space="preserve">Отечественная война 1812 года.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c2d2e"/>
          <w:spacing w:val="1"/>
          <w:sz w:val="28"/>
          <w:szCs w:val="28"/>
        </w:rPr>
        <w:t xml:space="preserve">24 июня 1812 года армия Наполеона перешла реку Неман и вторглась на территорию Российской империи. Началась Отечественная война 1812 года, окончившаяся победой России и почти полным уничтожением армии Наполеона.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91"/>
        <w:ind w:left="0" w:right="0" w:firstLine="709"/>
        <w:jc w:val="both"/>
        <w:spacing w:before="0" w:beforeAutospacing="0" w:after="0" w:afterAutospacing="0" w:line="283" w:lineRule="atLeast"/>
        <w:tabs>
          <w:tab w:val="left" w:pos="709" w:leader="none"/>
        </w:tabs>
        <w:rPr>
          <w:b w:val="0"/>
          <w:bCs w:val="0"/>
          <w:color w:val="ff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  <w:t xml:space="preserve">25 июня:</w:t>
      </w: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</w:r>
    </w:p>
    <w:p>
      <w:pPr>
        <w:pStyle w:val="891"/>
        <w:ind w:left="0" w:right="0" w:firstLine="0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</w:rPr>
        <w:t xml:space="preserve">1966: запуск первого советского метеоспутника.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Первый советский метеоспутник «Космос-122» космической системы «Метеор» был запущен 25 июня 1966 года. Спутник предназначался для испытания системы получения спутниковой метеорологической информации, которая получала изображения облачности, снежного покров</w:t>
      </w: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а и ледяных полей на освещенной и теневой сторонах Земли.</w:t>
      </w: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  <w:highlight w:val="none"/>
        </w:rPr>
      </w:r>
    </w:p>
    <w:p>
      <w:pPr>
        <w:pStyle w:val="891"/>
        <w:ind w:left="0" w:right="0" w:firstLine="0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</w:rPr>
        <w:t xml:space="preserve">2020: начало Общероссийского голосования по поправкам в Конституцию РФ.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25 июня 2020 года стартовало всероссийское голосование по поправкам в Конституцию. Впервые голосование длилось неделю и прошло со специальными мерами эпидемиологической предосторожности из-за пандемии коронавирусной инфекции. 1 июля 2020 года состоялось об</w:t>
      </w: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щероссийское голосование. Вопрос в бюллетене звучал следующим образом: «Вы одобряете изменения в Конституцию Российской Федерации?». За поправки проголосовали 77,92% (57 747 288), против 21,27% (15 761 978). 604 748 бюллетеней были признаны недействительны</w:t>
      </w: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left="0" w:right="0" w:firstLine="709"/>
        <w:jc w:val="both"/>
        <w:spacing w:before="0" w:beforeAutospacing="0" w:after="0" w:afterAutospacing="0" w:line="283" w:lineRule="atLeast"/>
        <w:tabs>
          <w:tab w:val="left" w:pos="709" w:leader="none"/>
        </w:tabs>
        <w:rPr>
          <w:b w:val="0"/>
          <w:bCs w:val="0"/>
          <w:color w:val="ff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</w:r>
    </w:p>
    <w:p>
      <w:pPr>
        <w:pStyle w:val="891"/>
        <w:ind w:left="0" w:right="0" w:firstLine="709"/>
        <w:jc w:val="both"/>
        <w:spacing w:before="0" w:beforeAutospacing="0" w:after="0" w:afterAutospacing="0" w:line="283" w:lineRule="atLeast"/>
        <w:tabs>
          <w:tab w:val="left" w:pos="709" w:leader="none"/>
        </w:tabs>
        <w:rPr>
          <w:b w:val="0"/>
          <w:bCs w:val="0"/>
          <w:color w:val="ff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  <w:t xml:space="preserve">26 июня:</w:t>
      </w: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</w:r>
    </w:p>
    <w:p>
      <w:pPr>
        <w:pStyle w:val="891"/>
        <w:ind w:left="0" w:right="0" w:firstLine="0"/>
        <w:jc w:val="center"/>
        <w:spacing w:before="0" w:beforeAutospacing="0" w:after="0" w:afterAutospacing="0" w:line="283" w:lineRule="atLeast"/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</w:rPr>
        <w:t xml:space="preserve">Первая в мире АЭС.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В 1954 году в этот день была запущена первая в мире атомная электростанция - Обнинская АЭС. Она же является и первой остановленной атомной электростанцией в России. В 2002 году АЭС в Обнинске была выведена из эксплуатации. В настоящее время она функциониру</w:t>
      </w: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ет как научно-исследовательский и мемориальный комплекс. А само здание АЭС является объектом культурного наследия народов России регионального значения и охраняется государством.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left="0" w:right="0" w:firstLine="709"/>
        <w:jc w:val="both"/>
        <w:spacing w:before="0" w:beforeAutospacing="0" w:after="0" w:afterAutospacing="0" w:line="283" w:lineRule="atLeast"/>
        <w:tabs>
          <w:tab w:val="left" w:pos="709" w:leader="none"/>
        </w:tabs>
        <w:rPr>
          <w:b w:val="0"/>
          <w:bCs w:val="0"/>
          <w:color w:val="ff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  <w:t xml:space="preserve">27 июня:</w:t>
      </w: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</w:r>
    </w:p>
    <w:p>
      <w:pPr>
        <w:pStyle w:val="891"/>
        <w:ind w:left="0" w:right="0" w:firstLine="0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</w:rPr>
        <w:t xml:space="preserve">Заработал первый в мире банкомат.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Его установили в 1967 году в районе Энфилд на севере Лондона в отделении британского банка Barclays. Этот автомат изобрел шотландец Джон Шепард-Баррон, вдохновившись работой автомата по продаже шоколада. В британском банкомате не было возможности проверить</w:t>
      </w: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 остаток на счете, поэтому сумма снимаемых наличных была ограничена 10 фунтами. ATM был «бескарточным» и выдавал наличные в обмен на специальный ваучер, которые надо было заранее получать в банке.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left="0" w:right="0" w:firstLine="709"/>
        <w:jc w:val="both"/>
        <w:spacing w:before="0" w:beforeAutospacing="0" w:after="0" w:afterAutospacing="0" w:line="283" w:lineRule="atLeast"/>
        <w:tabs>
          <w:tab w:val="left" w:pos="709" w:leader="none"/>
        </w:tabs>
        <w:rPr>
          <w:b w:val="0"/>
          <w:bCs w:val="0"/>
          <w:color w:val="ff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  <w:t xml:space="preserve">28 июня:</w:t>
      </w: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</w:r>
    </w:p>
    <w:p>
      <w:pPr>
        <w:pStyle w:val="891"/>
        <w:ind w:left="0" w:right="0" w:firstLine="0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</w:rPr>
        <w:t xml:space="preserve">Строительство Панамского канала.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28 июня 1902 года </w:t>
      </w:r>
      <w:hyperlink r:id="rId28" w:tooltip="https://news.mail.ru/company/kongress_ssha/" w:history="1">
        <w:r>
          <w:rPr>
            <w:rStyle w:val="898"/>
            <w:rFonts w:ascii="Times New Roman" w:hAnsi="Times New Roman" w:eastAsia="Times New Roman" w:cs="Times New Roman"/>
            <w:color w:val="2c2d2e"/>
            <w:spacing w:val="1"/>
            <w:sz w:val="28"/>
            <w:szCs w:val="28"/>
            <w:u w:val="none"/>
          </w:rPr>
          <w:t xml:space="preserve">конгресс США</w:t>
        </w:r>
      </w:hyperlink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 утвердил Закон о строительстве канала на Панамском перешейке. Согласно документу, правительство страны приобретало у французской «Панамской компании» права на строительство канала и все необходимое оборудование, а также акции железной дороги и саму террит</w:t>
      </w: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орию канала у Колумбии с правом строительства, поддержания и управления этой зоной.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left="0" w:right="0" w:firstLine="0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</w:rPr>
        <w:t xml:space="preserve">Завершение Первой мировой войны.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Примечательно, что 28 июня считается не только поводом для начала Первой мировой войны, но и является ее окончанием.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c2d2e"/>
          <w:spacing w:val="-2"/>
          <w:sz w:val="28"/>
          <w:szCs w:val="28"/>
        </w:rPr>
        <w:t xml:space="preserve">Именно в этот день в 1919 году был подписан Версальский мирный договор с Германией.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По нему немцы теряли все свои колониальные владения и часть территорий. Германии запрещалось иметь самолеты, дирижабли, танки, подводные лодки и суда водоизмещением более 10 тысяч тонн. Отныне флот Германии мог состоять лишь из 6 небольших броненосцев, 6 л</w:t>
      </w: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егких крейсеров, 12 эсминцев и торпедных катеров. Кроме того, Версальским договором была создана и международная организация Лига Наций, предшествующая </w:t>
      </w:r>
      <w:hyperlink r:id="rId29" w:tooltip="https://news.mail.ru/company/oon/" w:history="1">
        <w:r>
          <w:rPr>
            <w:rStyle w:val="898"/>
            <w:rFonts w:ascii="Times New Roman" w:hAnsi="Times New Roman" w:eastAsia="Times New Roman" w:cs="Times New Roman"/>
            <w:color w:val="2c2d2e"/>
            <w:spacing w:val="1"/>
            <w:sz w:val="28"/>
            <w:szCs w:val="28"/>
            <w:u w:val="none"/>
          </w:rPr>
          <w:t xml:space="preserve">ООН</w:t>
        </w:r>
      </w:hyperlink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left="0" w:right="0" w:firstLine="709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</w:rPr>
        <w:t xml:space="preserve">Выпуск первых автомобилей «Победа».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28 июня 1946 года с конвейера Горьковского автозавода сошла первая партия пятиместных легковых автомобилей ГАЗ-М-20 «Победа». Это был первый советский автомобиль с несущим кузовом и один из первых в мире серийных авто с кузовом «бескрылой» формы. Машина от</w:t>
      </w: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личалась удобством, прекрасной отделкой, оборудованием и различными новшествами (отдельный багажник с подъемной крышей, противосолнечные козырьки, две пепельницы, прикуриватель, потолочный плафон с автоматическим включением и другие). Всего на Горьковском </w:t>
      </w: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автомобильном заводе до 1958 года было выпущено более 240 тысяч автомобилей «Победа» различных модификаций.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left="0" w:right="0" w:firstLine="709"/>
        <w:jc w:val="both"/>
        <w:spacing w:before="0" w:beforeAutospacing="0" w:after="0" w:afterAutospacing="0" w:line="283" w:lineRule="atLeast"/>
        <w:tabs>
          <w:tab w:val="left" w:pos="709" w:leader="none"/>
        </w:tabs>
        <w:rPr>
          <w:b w:val="0"/>
          <w:bCs w:val="0"/>
          <w:color w:val="ff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  <w:t xml:space="preserve">29 июня:</w:t>
      </w:r>
      <w:r>
        <w:rPr>
          <w:b w:val="0"/>
          <w:bCs w:val="0"/>
          <w:color w:val="ff0000"/>
          <w:sz w:val="28"/>
          <w:szCs w:val="28"/>
          <w:highlight w:val="none"/>
        </w:rPr>
      </w:r>
      <w:r>
        <w:rPr>
          <w:b w:val="0"/>
          <w:bCs w:val="0"/>
          <w:color w:val="ff0000"/>
          <w:sz w:val="28"/>
          <w:szCs w:val="28"/>
          <w:highlight w:val="none"/>
        </w:rPr>
      </w:r>
    </w:p>
    <w:p>
      <w:pPr>
        <w:pStyle w:val="891"/>
        <w:ind w:left="0" w:right="0" w:firstLine="0"/>
        <w:jc w:val="center"/>
        <w:spacing w:before="0" w:beforeAutospacing="0" w:after="0" w:afterAutospacing="0" w:line="283" w:lineRule="atLeast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ff0000"/>
          <w:spacing w:val="-3"/>
          <w:sz w:val="28"/>
          <w:szCs w:val="28"/>
        </w:rPr>
        <w:t xml:space="preserve">День кораблестроителя в России.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c2d2e"/>
          <w:spacing w:val="1"/>
          <w:sz w:val="28"/>
          <w:szCs w:val="28"/>
        </w:rPr>
        <w:t xml:space="preserve">Профессиональный праздник День кораблестроителя отмечается 29 июня - в день выхода указа царя Алексея Михайловича о строительстве первого русского военного корабля «Орёл». Он учрежден по инициативе Российского исторического общества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left="0" w:right="0" w:firstLine="709"/>
        <w:jc w:val="both"/>
        <w:spacing w:before="0" w:beforeAutospacing="0" w:after="0" w:afterAutospacing="0" w:line="283" w:lineRule="atLeast"/>
        <w:tabs>
          <w:tab w:val="left" w:pos="709" w:leader="none"/>
        </w:tabs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highlight w:val="none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.SFUI-Regular">
    <w:panose1 w:val="02000603000000000000"/>
  </w:font>
  <w:font w:name="Segoe UI">
    <w:panose1 w:val="020B050204050402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35275831"/>
      <w:docPartObj>
        <w:docPartGallery w:val="Page Numbers (Bottom of Page)"/>
        <w:docPartUnique w:val="true"/>
      </w:docPartObj>
      <w:rPr/>
    </w:sdtPr>
    <w:sdtContent>
      <w:p>
        <w:pPr>
          <w:pStyle w:val="92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5</w:t>
        </w:r>
        <w:r>
          <w:fldChar w:fldCharType="end"/>
        </w:r>
        <w:r/>
      </w:p>
    </w:sdtContent>
  </w:sdt>
  <w:p>
    <w:pPr>
      <w:pStyle w:val="92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</w:pPr>
    <w:r/>
    <w:r/>
  </w:p>
  <w:p>
    <w:pPr>
      <w:pStyle w:val="91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/>
        <w:iCs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ffffff"/>
        <w:sz w:val="24"/>
        <w:highlight w:val="none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ffffff"/>
        <w:sz w:val="24"/>
        <w:highlight w:val="none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ffffff"/>
        <w:sz w:val="24"/>
        <w:highlight w:val="none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ffffff"/>
        <w:sz w:val="24"/>
        <w:highlight w:val="none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ffffff"/>
        <w:sz w:val="24"/>
        <w:highlight w:val="none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ffffff"/>
        <w:sz w:val="24"/>
        <w:highlight w:val="none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ffffff"/>
        <w:sz w:val="24"/>
        <w:highlight w:val="none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ffffff"/>
        <w:sz w:val="24"/>
        <w:highlight w:val="none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ffffff"/>
        <w:sz w:val="24"/>
        <w:highlight w:val="none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ffffff"/>
        <w:sz w:val="24"/>
        <w:highlight w:val="none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ffffff"/>
        <w:sz w:val="24"/>
        <w:highlight w:val="none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ffffff"/>
        <w:sz w:val="24"/>
        <w:highlight w:val="none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ffffff"/>
        <w:sz w:val="24"/>
        <w:highlight w:val="none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ffffff"/>
        <w:sz w:val="24"/>
        <w:highlight w:val="none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ffffff"/>
        <w:sz w:val="24"/>
        <w:highlight w:val="none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ffffff"/>
        <w:sz w:val="24"/>
        <w:highlight w:val="none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ffffff"/>
        <w:sz w:val="24"/>
        <w:highlight w:val="none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ffffff"/>
        <w:sz w:val="24"/>
        <w:highlight w:val="none"/>
      </w:rPr>
    </w:lvl>
  </w:abstractNum>
  <w:abstractNum w:abstractNumId="9">
    <w:multiLevelType w:val="hybridMultilevel"/>
    <w:numStyleLink w:val="930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ffffff"/>
        <w:sz w:val="24"/>
        <w:highlight w:val="none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ffffff"/>
        <w:sz w:val="24"/>
        <w:highlight w:val="none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ffffff"/>
        <w:sz w:val="24"/>
        <w:highlight w:val="none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ffffff"/>
        <w:sz w:val="24"/>
        <w:highlight w:val="none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ffffff"/>
        <w:sz w:val="24"/>
        <w:highlight w:val="none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ffffff"/>
        <w:sz w:val="24"/>
        <w:highlight w:val="none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ffffff"/>
        <w:sz w:val="24"/>
        <w:highlight w:val="none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ffffff"/>
        <w:sz w:val="24"/>
        <w:highlight w:val="none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ffffff"/>
        <w:sz w:val="24"/>
        <w:highlight w:val="none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1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ffffff"/>
        <w:sz w:val="24"/>
        <w:highlight w:val="none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ffffff"/>
        <w:sz w:val="24"/>
        <w:highlight w:val="none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ffffff"/>
        <w:sz w:val="24"/>
        <w:highlight w:val="none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ffffff"/>
        <w:sz w:val="24"/>
        <w:highlight w:val="none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ffffff"/>
        <w:sz w:val="24"/>
        <w:highlight w:val="none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ffffff"/>
        <w:sz w:val="24"/>
        <w:highlight w:val="none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ffffff"/>
        <w:sz w:val="24"/>
        <w:highlight w:val="none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ffffff"/>
        <w:sz w:val="24"/>
        <w:highlight w:val="none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ffffff"/>
        <w:sz w:val="24"/>
        <w:highlight w:val="none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8">
    <w:name w:val="Heading 1 Char"/>
    <w:basedOn w:val="893"/>
    <w:link w:val="890"/>
    <w:uiPriority w:val="9"/>
    <w:rPr>
      <w:rFonts w:ascii="Arial" w:hAnsi="Arial" w:eastAsia="Arial" w:cs="Arial"/>
      <w:sz w:val="40"/>
      <w:szCs w:val="40"/>
    </w:rPr>
  </w:style>
  <w:style w:type="character" w:styleId="719">
    <w:name w:val="Heading 2 Char"/>
    <w:basedOn w:val="893"/>
    <w:link w:val="891"/>
    <w:uiPriority w:val="9"/>
    <w:rPr>
      <w:rFonts w:ascii="Arial" w:hAnsi="Arial" w:eastAsia="Arial" w:cs="Arial"/>
      <w:sz w:val="34"/>
    </w:rPr>
  </w:style>
  <w:style w:type="character" w:styleId="720">
    <w:name w:val="Heading 3 Char"/>
    <w:basedOn w:val="893"/>
    <w:link w:val="892"/>
    <w:uiPriority w:val="9"/>
    <w:rPr>
      <w:rFonts w:ascii="Arial" w:hAnsi="Arial" w:eastAsia="Arial" w:cs="Arial"/>
      <w:sz w:val="30"/>
      <w:szCs w:val="30"/>
    </w:rPr>
  </w:style>
  <w:style w:type="paragraph" w:styleId="721">
    <w:name w:val="Heading 4"/>
    <w:basedOn w:val="889"/>
    <w:next w:val="889"/>
    <w:link w:val="72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2">
    <w:name w:val="Heading 4 Char"/>
    <w:basedOn w:val="893"/>
    <w:link w:val="721"/>
    <w:uiPriority w:val="9"/>
    <w:rPr>
      <w:rFonts w:ascii="Arial" w:hAnsi="Arial" w:eastAsia="Arial" w:cs="Arial"/>
      <w:b/>
      <w:bCs/>
      <w:sz w:val="26"/>
      <w:szCs w:val="26"/>
    </w:rPr>
  </w:style>
  <w:style w:type="paragraph" w:styleId="723">
    <w:name w:val="Heading 5"/>
    <w:basedOn w:val="889"/>
    <w:next w:val="889"/>
    <w:link w:val="72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4">
    <w:name w:val="Heading 5 Char"/>
    <w:basedOn w:val="893"/>
    <w:link w:val="723"/>
    <w:uiPriority w:val="9"/>
    <w:rPr>
      <w:rFonts w:ascii="Arial" w:hAnsi="Arial" w:eastAsia="Arial" w:cs="Arial"/>
      <w:b/>
      <w:bCs/>
      <w:sz w:val="24"/>
      <w:szCs w:val="24"/>
    </w:rPr>
  </w:style>
  <w:style w:type="paragraph" w:styleId="725">
    <w:name w:val="Heading 6"/>
    <w:basedOn w:val="889"/>
    <w:next w:val="889"/>
    <w:link w:val="7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6">
    <w:name w:val="Heading 6 Char"/>
    <w:basedOn w:val="893"/>
    <w:link w:val="725"/>
    <w:uiPriority w:val="9"/>
    <w:rPr>
      <w:rFonts w:ascii="Arial" w:hAnsi="Arial" w:eastAsia="Arial" w:cs="Arial"/>
      <w:b/>
      <w:bCs/>
      <w:sz w:val="22"/>
      <w:szCs w:val="22"/>
    </w:rPr>
  </w:style>
  <w:style w:type="paragraph" w:styleId="727">
    <w:name w:val="Heading 7"/>
    <w:basedOn w:val="889"/>
    <w:next w:val="889"/>
    <w:link w:val="72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8">
    <w:name w:val="Heading 7 Char"/>
    <w:basedOn w:val="893"/>
    <w:link w:val="7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9">
    <w:name w:val="Heading 8"/>
    <w:basedOn w:val="889"/>
    <w:next w:val="889"/>
    <w:link w:val="73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0">
    <w:name w:val="Heading 8 Char"/>
    <w:basedOn w:val="893"/>
    <w:link w:val="729"/>
    <w:uiPriority w:val="9"/>
    <w:rPr>
      <w:rFonts w:ascii="Arial" w:hAnsi="Arial" w:eastAsia="Arial" w:cs="Arial"/>
      <w:i/>
      <w:iCs/>
      <w:sz w:val="22"/>
      <w:szCs w:val="22"/>
    </w:rPr>
  </w:style>
  <w:style w:type="paragraph" w:styleId="731">
    <w:name w:val="Heading 9"/>
    <w:basedOn w:val="889"/>
    <w:next w:val="889"/>
    <w:link w:val="73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2">
    <w:name w:val="Heading 9 Char"/>
    <w:basedOn w:val="893"/>
    <w:link w:val="731"/>
    <w:uiPriority w:val="9"/>
    <w:rPr>
      <w:rFonts w:ascii="Arial" w:hAnsi="Arial" w:eastAsia="Arial" w:cs="Arial"/>
      <w:i/>
      <w:iCs/>
      <w:sz w:val="21"/>
      <w:szCs w:val="21"/>
    </w:rPr>
  </w:style>
  <w:style w:type="paragraph" w:styleId="733">
    <w:name w:val="List Paragraph"/>
    <w:basedOn w:val="889"/>
    <w:uiPriority w:val="34"/>
    <w:qFormat/>
    <w:pPr>
      <w:contextualSpacing/>
      <w:ind w:left="720"/>
    </w:pPr>
  </w:style>
  <w:style w:type="paragraph" w:styleId="734">
    <w:name w:val="No Spacing"/>
    <w:uiPriority w:val="1"/>
    <w:qFormat/>
    <w:pPr>
      <w:spacing w:before="0" w:after="0" w:line="240" w:lineRule="auto"/>
    </w:pPr>
  </w:style>
  <w:style w:type="paragraph" w:styleId="735">
    <w:name w:val="Title"/>
    <w:basedOn w:val="889"/>
    <w:next w:val="889"/>
    <w:link w:val="73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6">
    <w:name w:val="Title Char"/>
    <w:basedOn w:val="893"/>
    <w:link w:val="735"/>
    <w:uiPriority w:val="10"/>
    <w:rPr>
      <w:sz w:val="48"/>
      <w:szCs w:val="48"/>
    </w:rPr>
  </w:style>
  <w:style w:type="paragraph" w:styleId="737">
    <w:name w:val="Subtitle"/>
    <w:basedOn w:val="889"/>
    <w:next w:val="889"/>
    <w:link w:val="738"/>
    <w:uiPriority w:val="11"/>
    <w:qFormat/>
    <w:pPr>
      <w:spacing w:before="200" w:after="200"/>
    </w:pPr>
    <w:rPr>
      <w:sz w:val="24"/>
      <w:szCs w:val="24"/>
    </w:rPr>
  </w:style>
  <w:style w:type="character" w:styleId="738">
    <w:name w:val="Subtitle Char"/>
    <w:basedOn w:val="893"/>
    <w:link w:val="737"/>
    <w:uiPriority w:val="11"/>
    <w:rPr>
      <w:sz w:val="24"/>
      <w:szCs w:val="24"/>
    </w:rPr>
  </w:style>
  <w:style w:type="paragraph" w:styleId="739">
    <w:name w:val="Quote"/>
    <w:basedOn w:val="889"/>
    <w:next w:val="889"/>
    <w:link w:val="740"/>
    <w:uiPriority w:val="29"/>
    <w:qFormat/>
    <w:pPr>
      <w:ind w:left="720" w:right="720"/>
    </w:pPr>
    <w:rPr>
      <w:i/>
    </w:rPr>
  </w:style>
  <w:style w:type="character" w:styleId="740">
    <w:name w:val="Quote Char"/>
    <w:link w:val="739"/>
    <w:uiPriority w:val="29"/>
    <w:rPr>
      <w:i/>
    </w:rPr>
  </w:style>
  <w:style w:type="paragraph" w:styleId="741">
    <w:name w:val="Intense Quote"/>
    <w:basedOn w:val="889"/>
    <w:next w:val="889"/>
    <w:link w:val="74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2">
    <w:name w:val="Intense Quote Char"/>
    <w:link w:val="741"/>
    <w:uiPriority w:val="30"/>
    <w:rPr>
      <w:i/>
    </w:rPr>
  </w:style>
  <w:style w:type="character" w:styleId="743">
    <w:name w:val="Header Char"/>
    <w:basedOn w:val="893"/>
    <w:link w:val="919"/>
    <w:uiPriority w:val="99"/>
  </w:style>
  <w:style w:type="character" w:styleId="744">
    <w:name w:val="Footer Char"/>
    <w:basedOn w:val="893"/>
    <w:link w:val="921"/>
    <w:uiPriority w:val="99"/>
  </w:style>
  <w:style w:type="paragraph" w:styleId="745">
    <w:name w:val="Caption"/>
    <w:basedOn w:val="889"/>
    <w:next w:val="889"/>
    <w:link w:val="7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6">
    <w:name w:val="Caption Char"/>
    <w:basedOn w:val="745"/>
    <w:link w:val="921"/>
    <w:uiPriority w:val="99"/>
  </w:style>
  <w:style w:type="table" w:styleId="747">
    <w:name w:val="Table Grid Light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>
    <w:name w:val="Grid Table 4 - Accent 1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6">
    <w:name w:val="Grid Table 4 - Accent 2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Grid Table 4 - Accent 3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8">
    <w:name w:val="Grid Table 4 - Accent 4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Grid Table 4 - Accent 5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0">
    <w:name w:val="Grid Table 4 - Accent 6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1">
    <w:name w:val="Grid Table 5 Dark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8">
    <w:name w:val="Grid Table 6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9">
    <w:name w:val="Grid Table 6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0">
    <w:name w:val="Grid Table 6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1">
    <w:name w:val="Grid Table 6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2">
    <w:name w:val="Grid Table 6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3">
    <w:name w:val="Grid Table 6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6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7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0">
    <w:name w:val="List Table 2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1">
    <w:name w:val="List Table 2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2">
    <w:name w:val="List Table 2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3">
    <w:name w:val="List Table 2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4">
    <w:name w:val="List Table 2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5">
    <w:name w:val="List Table 2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6">
    <w:name w:val="List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6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8">
    <w:name w:val="List Table 6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9">
    <w:name w:val="List Table 6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0">
    <w:name w:val="List Table 6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1">
    <w:name w:val="List Table 6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2">
    <w:name w:val="List Table 6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3">
    <w:name w:val="List Table 6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4">
    <w:name w:val="List Table 7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5">
    <w:name w:val="List Table 7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6">
    <w:name w:val="List Table 7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7">
    <w:name w:val="List Table 7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8">
    <w:name w:val="List Table 7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9">
    <w:name w:val="List Table 7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0">
    <w:name w:val="List Table 7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1">
    <w:name w:val="Lined - Accent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Lined - Accent 1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3">
    <w:name w:val="Lined - Accent 2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4">
    <w:name w:val="Lined - Accent 3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5">
    <w:name w:val="Lined - Accent 4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6">
    <w:name w:val="Lined - Accent 5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7">
    <w:name w:val="Lined - Accent 6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8">
    <w:name w:val="Bordered &amp; Lined - Accent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9">
    <w:name w:val="Bordered &amp; Lined - Accent 1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0">
    <w:name w:val="Bordered &amp; Lined - Accent 2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1">
    <w:name w:val="Bordered &amp; Lined - Accent 3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2">
    <w:name w:val="Bordered &amp; Lined - Accent 4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3">
    <w:name w:val="Bordered &amp; Lined - Accent 5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4">
    <w:name w:val="Bordered &amp; Lined - Accent 6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5">
    <w:name w:val="Bordered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6">
    <w:name w:val="Bordered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7">
    <w:name w:val="Bordered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8">
    <w:name w:val="Bordered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9">
    <w:name w:val="Bordered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0">
    <w:name w:val="Bordered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1">
    <w:name w:val="Bordered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2">
    <w:name w:val="footnote text"/>
    <w:basedOn w:val="889"/>
    <w:link w:val="873"/>
    <w:uiPriority w:val="99"/>
    <w:semiHidden/>
    <w:unhideWhenUsed/>
    <w:pPr>
      <w:spacing w:after="40" w:line="240" w:lineRule="auto"/>
    </w:pPr>
    <w:rPr>
      <w:sz w:val="18"/>
    </w:rPr>
  </w:style>
  <w:style w:type="character" w:styleId="873">
    <w:name w:val="Footnote Text Char"/>
    <w:link w:val="872"/>
    <w:uiPriority w:val="99"/>
    <w:rPr>
      <w:sz w:val="18"/>
    </w:rPr>
  </w:style>
  <w:style w:type="character" w:styleId="874">
    <w:name w:val="footnote reference"/>
    <w:basedOn w:val="893"/>
    <w:uiPriority w:val="99"/>
    <w:unhideWhenUsed/>
    <w:rPr>
      <w:vertAlign w:val="superscript"/>
    </w:rPr>
  </w:style>
  <w:style w:type="paragraph" w:styleId="875">
    <w:name w:val="endnote text"/>
    <w:basedOn w:val="889"/>
    <w:link w:val="876"/>
    <w:uiPriority w:val="99"/>
    <w:semiHidden/>
    <w:unhideWhenUsed/>
    <w:pPr>
      <w:spacing w:after="0" w:line="240" w:lineRule="auto"/>
    </w:pPr>
    <w:rPr>
      <w:sz w:val="20"/>
    </w:rPr>
  </w:style>
  <w:style w:type="character" w:styleId="876">
    <w:name w:val="Endnote Text Char"/>
    <w:link w:val="875"/>
    <w:uiPriority w:val="99"/>
    <w:rPr>
      <w:sz w:val="20"/>
    </w:rPr>
  </w:style>
  <w:style w:type="character" w:styleId="877">
    <w:name w:val="endnote reference"/>
    <w:basedOn w:val="893"/>
    <w:uiPriority w:val="99"/>
    <w:semiHidden/>
    <w:unhideWhenUsed/>
    <w:rPr>
      <w:vertAlign w:val="superscript"/>
    </w:rPr>
  </w:style>
  <w:style w:type="paragraph" w:styleId="878">
    <w:name w:val="toc 1"/>
    <w:basedOn w:val="889"/>
    <w:next w:val="889"/>
    <w:uiPriority w:val="39"/>
    <w:unhideWhenUsed/>
    <w:pPr>
      <w:ind w:left="0" w:right="0" w:firstLine="0"/>
      <w:spacing w:after="57"/>
    </w:pPr>
  </w:style>
  <w:style w:type="paragraph" w:styleId="879">
    <w:name w:val="toc 2"/>
    <w:basedOn w:val="889"/>
    <w:next w:val="889"/>
    <w:uiPriority w:val="39"/>
    <w:unhideWhenUsed/>
    <w:pPr>
      <w:ind w:left="283" w:right="0" w:firstLine="0"/>
      <w:spacing w:after="57"/>
    </w:pPr>
  </w:style>
  <w:style w:type="paragraph" w:styleId="880">
    <w:name w:val="toc 3"/>
    <w:basedOn w:val="889"/>
    <w:next w:val="889"/>
    <w:uiPriority w:val="39"/>
    <w:unhideWhenUsed/>
    <w:pPr>
      <w:ind w:left="567" w:right="0" w:firstLine="0"/>
      <w:spacing w:after="57"/>
    </w:pPr>
  </w:style>
  <w:style w:type="paragraph" w:styleId="881">
    <w:name w:val="toc 4"/>
    <w:basedOn w:val="889"/>
    <w:next w:val="889"/>
    <w:uiPriority w:val="39"/>
    <w:unhideWhenUsed/>
    <w:pPr>
      <w:ind w:left="850" w:right="0" w:firstLine="0"/>
      <w:spacing w:after="57"/>
    </w:pPr>
  </w:style>
  <w:style w:type="paragraph" w:styleId="882">
    <w:name w:val="toc 5"/>
    <w:basedOn w:val="889"/>
    <w:next w:val="889"/>
    <w:uiPriority w:val="39"/>
    <w:unhideWhenUsed/>
    <w:pPr>
      <w:ind w:left="1134" w:right="0" w:firstLine="0"/>
      <w:spacing w:after="57"/>
    </w:pPr>
  </w:style>
  <w:style w:type="paragraph" w:styleId="883">
    <w:name w:val="toc 6"/>
    <w:basedOn w:val="889"/>
    <w:next w:val="889"/>
    <w:uiPriority w:val="39"/>
    <w:unhideWhenUsed/>
    <w:pPr>
      <w:ind w:left="1417" w:right="0" w:firstLine="0"/>
      <w:spacing w:after="57"/>
    </w:pPr>
  </w:style>
  <w:style w:type="paragraph" w:styleId="884">
    <w:name w:val="toc 7"/>
    <w:basedOn w:val="889"/>
    <w:next w:val="889"/>
    <w:uiPriority w:val="39"/>
    <w:unhideWhenUsed/>
    <w:pPr>
      <w:ind w:left="1701" w:right="0" w:firstLine="0"/>
      <w:spacing w:after="57"/>
    </w:pPr>
  </w:style>
  <w:style w:type="paragraph" w:styleId="885">
    <w:name w:val="toc 8"/>
    <w:basedOn w:val="889"/>
    <w:next w:val="889"/>
    <w:uiPriority w:val="39"/>
    <w:unhideWhenUsed/>
    <w:pPr>
      <w:ind w:left="1984" w:right="0" w:firstLine="0"/>
      <w:spacing w:after="57"/>
    </w:pPr>
  </w:style>
  <w:style w:type="paragraph" w:styleId="886">
    <w:name w:val="toc 9"/>
    <w:basedOn w:val="889"/>
    <w:next w:val="889"/>
    <w:uiPriority w:val="39"/>
    <w:unhideWhenUsed/>
    <w:pPr>
      <w:ind w:left="2268" w:right="0" w:firstLine="0"/>
      <w:spacing w:after="57"/>
    </w:pPr>
  </w:style>
  <w:style w:type="paragraph" w:styleId="887">
    <w:name w:val="TOC Heading"/>
    <w:uiPriority w:val="39"/>
    <w:unhideWhenUsed/>
  </w:style>
  <w:style w:type="paragraph" w:styleId="888">
    <w:name w:val="table of figures"/>
    <w:basedOn w:val="889"/>
    <w:next w:val="889"/>
    <w:uiPriority w:val="99"/>
    <w:unhideWhenUsed/>
    <w:pPr>
      <w:spacing w:after="0" w:afterAutospacing="0"/>
    </w:pPr>
  </w:style>
  <w:style w:type="paragraph" w:styleId="889" w:default="1">
    <w:name w:val="Normal"/>
    <w:qFormat/>
  </w:style>
  <w:style w:type="paragraph" w:styleId="890">
    <w:name w:val="Heading 1"/>
    <w:basedOn w:val="889"/>
    <w:next w:val="889"/>
    <w:link w:val="899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91">
    <w:name w:val="Heading 2"/>
    <w:basedOn w:val="889"/>
    <w:link w:val="896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892">
    <w:name w:val="Heading 3"/>
    <w:basedOn w:val="889"/>
    <w:next w:val="889"/>
    <w:link w:val="900"/>
    <w:uiPriority w:val="9"/>
    <w:semiHidden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893" w:default="1">
    <w:name w:val="Default Paragraph Font"/>
    <w:uiPriority w:val="1"/>
    <w:semiHidden/>
    <w:unhideWhenUsed/>
  </w:style>
  <w:style w:type="table" w:styleId="8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5" w:default="1">
    <w:name w:val="No List"/>
    <w:uiPriority w:val="99"/>
    <w:semiHidden/>
    <w:unhideWhenUsed/>
  </w:style>
  <w:style w:type="character" w:styleId="896" w:customStyle="1">
    <w:name w:val="Заголовок 2 Знак"/>
    <w:basedOn w:val="893"/>
    <w:link w:val="891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897">
    <w:name w:val="Normal (Web)"/>
    <w:basedOn w:val="88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8">
    <w:name w:val="Hyperlink"/>
    <w:basedOn w:val="893"/>
    <w:uiPriority w:val="99"/>
    <w:unhideWhenUsed/>
    <w:rPr>
      <w:color w:val="0000ff"/>
      <w:u w:val="single"/>
    </w:rPr>
  </w:style>
  <w:style w:type="character" w:styleId="899" w:customStyle="1">
    <w:name w:val="Заголовок 1 Знак"/>
    <w:basedOn w:val="893"/>
    <w:link w:val="890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900" w:customStyle="1">
    <w:name w:val="Заголовок 3 Знак"/>
    <w:basedOn w:val="893"/>
    <w:link w:val="892"/>
    <w:uiPriority w:val="9"/>
    <w:semiHidden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901">
    <w:name w:val="Strong"/>
    <w:basedOn w:val="893"/>
    <w:uiPriority w:val="22"/>
    <w:qFormat/>
    <w:rPr>
      <w:b/>
      <w:bCs/>
    </w:rPr>
  </w:style>
  <w:style w:type="paragraph" w:styleId="902" w:customStyle="1">
    <w:name w:val="text"/>
    <w:basedOn w:val="88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03">
    <w:name w:val="Table Grid"/>
    <w:basedOn w:val="89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4">
    <w:name w:val="Balloon Text"/>
    <w:basedOn w:val="889"/>
    <w:link w:val="90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05" w:customStyle="1">
    <w:name w:val="Текст выноски Знак"/>
    <w:basedOn w:val="893"/>
    <w:link w:val="904"/>
    <w:uiPriority w:val="99"/>
    <w:semiHidden/>
    <w:rPr>
      <w:rFonts w:ascii="Segoe UI" w:hAnsi="Segoe UI" w:cs="Segoe UI"/>
      <w:sz w:val="18"/>
      <w:szCs w:val="18"/>
    </w:rPr>
  </w:style>
  <w:style w:type="paragraph" w:styleId="906" w:customStyle="1">
    <w:name w:val="rtejustify"/>
    <w:basedOn w:val="88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7" w:customStyle="1">
    <w:name w:val="Другое_"/>
    <w:basedOn w:val="893"/>
    <w:link w:val="908"/>
    <w:rPr>
      <w:rFonts w:ascii="Times New Roman" w:hAnsi="Times New Roman" w:eastAsia="Times New Roman" w:cs="Times New Roman"/>
      <w:shd w:val="clear" w:color="auto" w:fill="ffffff"/>
    </w:rPr>
  </w:style>
  <w:style w:type="paragraph" w:styleId="908" w:customStyle="1">
    <w:name w:val="Другое"/>
    <w:basedOn w:val="889"/>
    <w:link w:val="907"/>
    <w:pPr>
      <w:spacing w:after="0" w:line="240" w:lineRule="auto"/>
      <w:shd w:val="clear" w:color="auto" w:fill="ffffff"/>
      <w:widowControl w:val="off"/>
    </w:pPr>
    <w:rPr>
      <w:rFonts w:ascii="Times New Roman" w:hAnsi="Times New Roman" w:eastAsia="Times New Roman" w:cs="Times New Roman"/>
    </w:rPr>
  </w:style>
  <w:style w:type="character" w:styleId="909">
    <w:name w:val="FollowedHyperlink"/>
    <w:basedOn w:val="893"/>
    <w:uiPriority w:val="99"/>
    <w:semiHidden/>
    <w:unhideWhenUsed/>
    <w:rPr>
      <w:color w:val="800080" w:themeColor="followedHyperlink"/>
      <w:u w:val="single"/>
    </w:rPr>
  </w:style>
  <w:style w:type="paragraph" w:styleId="910" w:customStyle="1">
    <w:name w:val="richfactdown-paragraph"/>
    <w:basedOn w:val="88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1" w:customStyle="1">
    <w:name w:val="Основной текст (3)_"/>
    <w:basedOn w:val="893"/>
    <w:link w:val="915"/>
    <w:rPr>
      <w:rFonts w:ascii="Times New Roman" w:hAnsi="Times New Roman" w:eastAsia="Times New Roman" w:cs="Times New Roman"/>
      <w:b/>
      <w:bCs/>
      <w:color w:val="ebebeb"/>
      <w:sz w:val="48"/>
      <w:szCs w:val="48"/>
      <w:shd w:val="clear" w:color="auto" w:fill="ffffff"/>
    </w:rPr>
  </w:style>
  <w:style w:type="character" w:styleId="912" w:customStyle="1">
    <w:name w:val="Основной текст_"/>
    <w:basedOn w:val="893"/>
    <w:link w:val="916"/>
    <w:rPr>
      <w:rFonts w:ascii="Times New Roman" w:hAnsi="Times New Roman" w:eastAsia="Times New Roman" w:cs="Times New Roman"/>
      <w:i/>
      <w:iCs/>
      <w:sz w:val="26"/>
      <w:szCs w:val="26"/>
      <w:shd w:val="clear" w:color="auto" w:fill="ffffff"/>
    </w:rPr>
  </w:style>
  <w:style w:type="character" w:styleId="913" w:customStyle="1">
    <w:name w:val="Колонтитул (2)_"/>
    <w:basedOn w:val="893"/>
    <w:link w:val="917"/>
    <w:rPr>
      <w:rFonts w:ascii="Times New Roman" w:hAnsi="Times New Roman" w:eastAsia="Times New Roman" w:cs="Times New Roman"/>
      <w:sz w:val="20"/>
      <w:szCs w:val="20"/>
      <w:shd w:val="clear" w:color="auto" w:fill="ffffff"/>
    </w:rPr>
  </w:style>
  <w:style w:type="character" w:styleId="914" w:customStyle="1">
    <w:name w:val="Заголовок №1_"/>
    <w:basedOn w:val="893"/>
    <w:link w:val="918"/>
    <w:rPr>
      <w:rFonts w:ascii="Times New Roman" w:hAnsi="Times New Roman" w:eastAsia="Times New Roman" w:cs="Times New Roman"/>
      <w:b/>
      <w:bCs/>
      <w:sz w:val="26"/>
      <w:szCs w:val="26"/>
      <w:shd w:val="clear" w:color="auto" w:fill="ffffff"/>
    </w:rPr>
  </w:style>
  <w:style w:type="paragraph" w:styleId="915" w:customStyle="1">
    <w:name w:val="Основной текст (3)"/>
    <w:basedOn w:val="889"/>
    <w:link w:val="911"/>
    <w:pPr>
      <w:ind w:right="140"/>
      <w:jc w:val="center"/>
      <w:spacing w:after="700" w:line="300" w:lineRule="auto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color w:val="ebebeb"/>
      <w:sz w:val="48"/>
      <w:szCs w:val="48"/>
    </w:rPr>
  </w:style>
  <w:style w:type="paragraph" w:styleId="916" w:customStyle="1">
    <w:name w:val="Основной текст1"/>
    <w:basedOn w:val="889"/>
    <w:link w:val="912"/>
    <w:pPr>
      <w:ind w:firstLine="400"/>
      <w:jc w:val="both"/>
      <w:spacing w:after="0" w:line="379" w:lineRule="auto"/>
      <w:shd w:val="clear" w:color="auto" w:fill="ffffff"/>
      <w:widowControl w:val="off"/>
    </w:pPr>
    <w:rPr>
      <w:rFonts w:ascii="Times New Roman" w:hAnsi="Times New Roman" w:eastAsia="Times New Roman" w:cs="Times New Roman"/>
      <w:i/>
      <w:iCs/>
      <w:sz w:val="26"/>
      <w:szCs w:val="26"/>
    </w:rPr>
  </w:style>
  <w:style w:type="paragraph" w:styleId="917" w:customStyle="1">
    <w:name w:val="Колонтитул (2)"/>
    <w:basedOn w:val="889"/>
    <w:link w:val="913"/>
    <w:pPr>
      <w:spacing w:after="0" w:line="240" w:lineRule="auto"/>
      <w:shd w:val="clear" w:color="auto" w:fill="ffffff"/>
      <w:widowControl w:val="off"/>
    </w:pPr>
    <w:rPr>
      <w:rFonts w:ascii="Times New Roman" w:hAnsi="Times New Roman" w:eastAsia="Times New Roman" w:cs="Times New Roman"/>
      <w:sz w:val="20"/>
      <w:szCs w:val="20"/>
    </w:rPr>
  </w:style>
  <w:style w:type="paragraph" w:styleId="918" w:customStyle="1">
    <w:name w:val="Заголовок №1"/>
    <w:basedOn w:val="889"/>
    <w:link w:val="914"/>
    <w:pPr>
      <w:ind w:firstLine="720"/>
      <w:jc w:val="both"/>
      <w:spacing w:after="0" w:line="379" w:lineRule="auto"/>
      <w:shd w:val="clear" w:color="auto" w:fill="ffffff"/>
      <w:widowControl w:val="off"/>
      <w:outlineLvl w:val="0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919">
    <w:name w:val="Header"/>
    <w:basedOn w:val="889"/>
    <w:link w:val="92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0" w:customStyle="1">
    <w:name w:val="Верхний колонтитул Знак"/>
    <w:basedOn w:val="893"/>
    <w:link w:val="919"/>
    <w:uiPriority w:val="99"/>
  </w:style>
  <w:style w:type="paragraph" w:styleId="921">
    <w:name w:val="Footer"/>
    <w:basedOn w:val="889"/>
    <w:link w:val="92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2" w:customStyle="1">
    <w:name w:val="Нижний колонтитул Знак"/>
    <w:basedOn w:val="893"/>
    <w:link w:val="921"/>
    <w:uiPriority w:val="99"/>
  </w:style>
  <w:style w:type="paragraph" w:styleId="923" w:customStyle="1">
    <w:name w:val="docdata"/>
    <w:basedOn w:val="889"/>
    <w:qFormat/>
    <w:pPr>
      <w:spacing w:beforeAutospacing="1" w:after="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 w:bidi="hi-IN"/>
    </w:rPr>
  </w:style>
  <w:style w:type="paragraph" w:styleId="924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925" w:customStyle="1">
    <w:name w:val="field"/>
    <w:basedOn w:val="893"/>
  </w:style>
  <w:style w:type="paragraph" w:styleId="926" w:customStyle="1">
    <w:name w:val="in"/>
    <w:basedOn w:val="88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7" w:customStyle="1">
    <w:name w:val="m-0"/>
    <w:basedOn w:val="88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8" w:customStyle="1">
    <w:name w:val="s1"/>
    <w:basedOn w:val="745"/>
    <w:rPr>
      <w:rFonts w:ascii=".SFUI-Regular" w:hAnsi=".SFUI-Regular"/>
      <w:b w:val="0"/>
      <w:bCs w:val="0"/>
      <w:i w:val="0"/>
      <w:iCs w:val="0"/>
      <w:sz w:val="18"/>
      <w:szCs w:val="18"/>
    </w:rPr>
  </w:style>
  <w:style w:type="character" w:styleId="929" w:customStyle="1">
    <w:name w:val="Emphasis"/>
    <w:uiPriority w:val="20"/>
    <w:qFormat/>
    <w:rPr>
      <w:i/>
      <w:iCs/>
    </w:rPr>
  </w:style>
  <w:style w:type="numbering" w:styleId="930" w:customStyle="1">
    <w:name w:val="Импортированный стиль 1"/>
    <w:pPr>
      <w:numPr>
        <w:ilvl w:val="0"/>
        <w:numId w:val="0"/>
      </w:numP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jp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hyperlink" Target="https://www.interfax.ru/russia/1028299?utm_source=interlink&amp;utm_medium=1031606" TargetMode="External"/><Relationship Id="rId16" Type="http://schemas.openxmlformats.org/officeDocument/2006/relationships/hyperlink" Target="https://www.interfax.ru/russia/1022905?utm_source=interlink&amp;utm_medium=1031606" TargetMode="External"/><Relationship Id="rId17" Type="http://schemas.openxmlformats.org/officeDocument/2006/relationships/hyperlink" Target="https://www.interfax.ru/russia/990953?utm_source=interlink&amp;utm_medium=1031606" TargetMode="External"/><Relationship Id="rId18" Type="http://schemas.openxmlformats.org/officeDocument/2006/relationships/hyperlink" Target="https://www.interfax.ru/world/991185?utm_source=interlink&amp;utm_medium=1031606" TargetMode="External"/><Relationship Id="rId19" Type="http://schemas.openxmlformats.org/officeDocument/2006/relationships/hyperlink" Target="https://www.interfax.ru/quote/SBER" TargetMode="External"/><Relationship Id="rId20" Type="http://schemas.openxmlformats.org/officeDocument/2006/relationships/hyperlink" Target="https://www.interfax.ru/russia/1030085?utm_source=interlink&amp;utm_medium=1031585" TargetMode="External"/><Relationship Id="rId21" Type="http://schemas.openxmlformats.org/officeDocument/2006/relationships/hyperlink" Target="https://www.interfax.ru/russia/1029368?utm_source=interlink&amp;utm_medium=1031585" TargetMode="External"/><Relationship Id="rId22" Type="http://schemas.openxmlformats.org/officeDocument/2006/relationships/hyperlink" Target="https://www.nso.ru/news/71321" TargetMode="External"/><Relationship Id="rId23" Type="http://schemas.openxmlformats.org/officeDocument/2006/relationships/hyperlink" Target="https://news.mail.ru/company/oon/" TargetMode="External"/><Relationship Id="rId24" Type="http://schemas.openxmlformats.org/officeDocument/2006/relationships/hyperlink" Target="https://news.mail.ru/company/oon/" TargetMode="External"/><Relationship Id="rId25" Type="http://schemas.openxmlformats.org/officeDocument/2006/relationships/hyperlink" Target="https://news.mail.ru/company/oon/" TargetMode="External"/><Relationship Id="rId26" Type="http://schemas.openxmlformats.org/officeDocument/2006/relationships/hyperlink" Target="https://news.mail.ru/card/1191/" TargetMode="External"/><Relationship Id="rId27" Type="http://schemas.openxmlformats.org/officeDocument/2006/relationships/hyperlink" Target="https://news.mail.ru/card/872/" TargetMode="External"/><Relationship Id="rId28" Type="http://schemas.openxmlformats.org/officeDocument/2006/relationships/hyperlink" Target="https://news.mail.ru/company/kongress_ssha/" TargetMode="External"/><Relationship Id="rId29" Type="http://schemas.openxmlformats.org/officeDocument/2006/relationships/hyperlink" Target="https://news.mail.ru/company/oon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00989-0AB4-4A05-AF81-BD3ED9A4F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revision>3701</cp:revision>
  <dcterms:created xsi:type="dcterms:W3CDTF">2024-06-16T13:17:00Z</dcterms:created>
  <dcterms:modified xsi:type="dcterms:W3CDTF">2025-06-20T02:50:19Z</dcterms:modified>
</cp:coreProperties>
</file>